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7B74C8" w14:textId="77777777" w:rsidR="00F72C4D" w:rsidRDefault="00F72C4D" w:rsidP="00265642">
      <w:pPr>
        <w:spacing w:after="0" w:line="480" w:lineRule="auto"/>
        <w:jc w:val="center"/>
        <w:rPr>
          <w:rFonts w:cstheme="minorHAnsi"/>
          <w:b/>
          <w:bCs/>
        </w:rPr>
      </w:pPr>
    </w:p>
    <w:p w14:paraId="25AB4975" w14:textId="77777777" w:rsidR="00F72C4D" w:rsidRDefault="00F72C4D" w:rsidP="00265642">
      <w:pPr>
        <w:spacing w:after="0" w:line="480" w:lineRule="auto"/>
        <w:jc w:val="center"/>
        <w:rPr>
          <w:rFonts w:cstheme="minorHAnsi"/>
          <w:b/>
          <w:bCs/>
        </w:rPr>
      </w:pPr>
    </w:p>
    <w:p w14:paraId="71B2EA75" w14:textId="77777777" w:rsidR="00F72C4D" w:rsidRDefault="00F72C4D" w:rsidP="00265642">
      <w:pPr>
        <w:spacing w:after="0" w:line="480" w:lineRule="auto"/>
        <w:jc w:val="center"/>
        <w:rPr>
          <w:rFonts w:cstheme="minorHAnsi"/>
          <w:b/>
          <w:bCs/>
        </w:rPr>
      </w:pPr>
    </w:p>
    <w:p w14:paraId="6BD9BF78" w14:textId="77777777" w:rsidR="00F72C4D" w:rsidRDefault="00F72C4D" w:rsidP="000C556A">
      <w:pPr>
        <w:spacing w:after="0" w:line="480" w:lineRule="auto"/>
        <w:jc w:val="center"/>
        <w:rPr>
          <w:rFonts w:cstheme="minorHAnsi"/>
          <w:b/>
          <w:bCs/>
        </w:rPr>
      </w:pPr>
    </w:p>
    <w:p w14:paraId="7F1B6338" w14:textId="77777777" w:rsidR="00830DE1" w:rsidRDefault="00830DE1" w:rsidP="00830DE1">
      <w:pPr>
        <w:spacing w:after="0" w:line="480" w:lineRule="auto"/>
        <w:jc w:val="center"/>
        <w:rPr>
          <w:rFonts w:cstheme="minorHAnsi"/>
          <w:b/>
          <w:bCs/>
        </w:rPr>
      </w:pPr>
      <w:r w:rsidRPr="00F72C4D">
        <w:rPr>
          <w:rFonts w:cstheme="minorHAnsi"/>
          <w:b/>
          <w:bCs/>
        </w:rPr>
        <w:t xml:space="preserve">Exploring Differences in </w:t>
      </w:r>
      <w:r>
        <w:rPr>
          <w:rFonts w:cstheme="minorHAnsi"/>
          <w:b/>
          <w:bCs/>
        </w:rPr>
        <w:t>Hippocampal Structure between</w:t>
      </w:r>
      <w:r w:rsidRPr="00F72C4D">
        <w:rPr>
          <w:rFonts w:cstheme="minorHAnsi"/>
          <w:b/>
          <w:bCs/>
        </w:rPr>
        <w:t xml:space="preserve"> Habitual vs Non-habitual Nappers </w:t>
      </w:r>
      <w:r>
        <w:rPr>
          <w:rFonts w:cstheme="minorHAnsi"/>
          <w:b/>
          <w:bCs/>
        </w:rPr>
        <w:t>d</w:t>
      </w:r>
      <w:r w:rsidRPr="00F72C4D">
        <w:rPr>
          <w:rFonts w:cstheme="minorHAnsi"/>
          <w:b/>
          <w:bCs/>
        </w:rPr>
        <w:t>uring Early Childhood</w:t>
      </w:r>
    </w:p>
    <w:p w14:paraId="7DE81E07" w14:textId="1BF7DC4F" w:rsidR="00F72C4D" w:rsidRDefault="00F72C4D" w:rsidP="000C556A">
      <w:pPr>
        <w:spacing w:after="0" w:line="480" w:lineRule="auto"/>
        <w:jc w:val="center"/>
        <w:rPr>
          <w:rFonts w:cstheme="minorHAnsi"/>
        </w:rPr>
      </w:pPr>
      <w:r>
        <w:rPr>
          <w:rFonts w:cstheme="minorHAnsi"/>
        </w:rPr>
        <w:t>Lena Meredith</w:t>
      </w:r>
    </w:p>
    <w:p w14:paraId="2CFDC7A0" w14:textId="218C8A34" w:rsidR="00F72C4D" w:rsidRDefault="00F72C4D" w:rsidP="000C556A">
      <w:pPr>
        <w:spacing w:after="0" w:line="480" w:lineRule="auto"/>
        <w:jc w:val="center"/>
        <w:rPr>
          <w:rFonts w:cstheme="minorHAnsi"/>
        </w:rPr>
      </w:pPr>
      <w:r>
        <w:rPr>
          <w:rFonts w:cstheme="minorHAnsi"/>
        </w:rPr>
        <w:t>Department of Psychology, University of Maryland</w:t>
      </w:r>
    </w:p>
    <w:p w14:paraId="279EAD7B" w14:textId="3CB937C0" w:rsidR="002F357E" w:rsidRPr="00F72C4D" w:rsidRDefault="002F357E" w:rsidP="000C556A">
      <w:pPr>
        <w:spacing w:after="0" w:line="480" w:lineRule="auto"/>
        <w:jc w:val="center"/>
        <w:rPr>
          <w:rFonts w:cstheme="minorHAnsi"/>
        </w:rPr>
      </w:pPr>
      <w:r>
        <w:rPr>
          <w:rFonts w:cstheme="minorHAnsi"/>
        </w:rPr>
        <w:t>Undergraduate Psychology Honors Thesis</w:t>
      </w:r>
    </w:p>
    <w:p w14:paraId="737CD55A" w14:textId="239A9483" w:rsidR="00A43937" w:rsidRDefault="00A43937" w:rsidP="000C556A">
      <w:pPr>
        <w:spacing w:after="0" w:line="480" w:lineRule="auto"/>
        <w:ind w:left="360"/>
        <w:rPr>
          <w:rFonts w:cstheme="minorHAnsi"/>
        </w:rPr>
      </w:pPr>
    </w:p>
    <w:p w14:paraId="7C4039E1" w14:textId="46F97A34" w:rsidR="002F357E" w:rsidRDefault="002F357E" w:rsidP="000C556A">
      <w:pPr>
        <w:spacing w:after="0" w:line="480" w:lineRule="auto"/>
        <w:ind w:left="360"/>
        <w:rPr>
          <w:rFonts w:cstheme="minorHAnsi"/>
        </w:rPr>
      </w:pPr>
    </w:p>
    <w:p w14:paraId="6BD1F454" w14:textId="709739BE" w:rsidR="002F357E" w:rsidRDefault="002F357E" w:rsidP="000C556A">
      <w:pPr>
        <w:spacing w:after="0" w:line="480" w:lineRule="auto"/>
        <w:ind w:left="360"/>
        <w:rPr>
          <w:rFonts w:cstheme="minorHAnsi"/>
        </w:rPr>
      </w:pPr>
    </w:p>
    <w:p w14:paraId="748F1858" w14:textId="30A5DE95" w:rsidR="002F357E" w:rsidRDefault="002F357E" w:rsidP="000C556A">
      <w:pPr>
        <w:spacing w:after="0" w:line="480" w:lineRule="auto"/>
        <w:ind w:left="360"/>
        <w:rPr>
          <w:rFonts w:cstheme="minorHAnsi"/>
        </w:rPr>
      </w:pPr>
    </w:p>
    <w:p w14:paraId="6658C248" w14:textId="76224149" w:rsidR="002F357E" w:rsidRDefault="002F357E" w:rsidP="000C556A">
      <w:pPr>
        <w:spacing w:after="0" w:line="480" w:lineRule="auto"/>
        <w:ind w:left="360"/>
        <w:rPr>
          <w:rFonts w:cstheme="minorHAnsi"/>
        </w:rPr>
      </w:pPr>
    </w:p>
    <w:p w14:paraId="1B2F7466" w14:textId="06912FAB" w:rsidR="002F357E" w:rsidRDefault="002F357E" w:rsidP="000C556A">
      <w:pPr>
        <w:spacing w:after="0" w:line="480" w:lineRule="auto"/>
        <w:ind w:left="360"/>
        <w:rPr>
          <w:rFonts w:cstheme="minorHAnsi"/>
        </w:rPr>
      </w:pPr>
    </w:p>
    <w:p w14:paraId="0ADE78F5" w14:textId="13D30D92" w:rsidR="002F357E" w:rsidRDefault="002F357E" w:rsidP="000C556A">
      <w:pPr>
        <w:spacing w:after="0" w:line="480" w:lineRule="auto"/>
        <w:ind w:left="360"/>
        <w:rPr>
          <w:rFonts w:cstheme="minorHAnsi"/>
        </w:rPr>
      </w:pPr>
    </w:p>
    <w:p w14:paraId="22BC6738" w14:textId="30D08644" w:rsidR="002F357E" w:rsidRDefault="002F357E" w:rsidP="000C556A">
      <w:pPr>
        <w:spacing w:after="0" w:line="480" w:lineRule="auto"/>
        <w:ind w:left="360"/>
        <w:rPr>
          <w:rFonts w:cstheme="minorHAnsi"/>
        </w:rPr>
      </w:pPr>
    </w:p>
    <w:p w14:paraId="4ABBBE03" w14:textId="1F7554BB" w:rsidR="002F357E" w:rsidRDefault="002F357E" w:rsidP="000C556A">
      <w:pPr>
        <w:spacing w:after="0" w:line="480" w:lineRule="auto"/>
        <w:ind w:left="360"/>
        <w:rPr>
          <w:rFonts w:cstheme="minorHAnsi"/>
        </w:rPr>
      </w:pPr>
    </w:p>
    <w:p w14:paraId="6D934F30" w14:textId="4751D5BB" w:rsidR="002F357E" w:rsidRDefault="002F357E" w:rsidP="000C556A">
      <w:pPr>
        <w:spacing w:after="0" w:line="480" w:lineRule="auto"/>
        <w:ind w:left="360"/>
        <w:rPr>
          <w:rFonts w:cstheme="minorHAnsi"/>
        </w:rPr>
      </w:pPr>
    </w:p>
    <w:p w14:paraId="298132FD" w14:textId="77777777" w:rsidR="002F357E" w:rsidRDefault="002F357E" w:rsidP="000C556A">
      <w:pPr>
        <w:spacing w:after="0" w:line="480" w:lineRule="auto"/>
        <w:ind w:left="360"/>
        <w:rPr>
          <w:rFonts w:cstheme="minorHAnsi"/>
        </w:rPr>
      </w:pPr>
    </w:p>
    <w:p w14:paraId="1982021A" w14:textId="2F16E25B" w:rsidR="002F357E" w:rsidRDefault="002F357E" w:rsidP="002F357E">
      <w:pPr>
        <w:spacing w:line="480" w:lineRule="auto"/>
        <w:jc w:val="center"/>
        <w:rPr>
          <w:rFonts w:cstheme="minorHAnsi"/>
          <w:b/>
          <w:bCs/>
        </w:rPr>
      </w:pPr>
      <w:r>
        <w:rPr>
          <w:rFonts w:cstheme="minorHAnsi"/>
          <w:b/>
          <w:bCs/>
        </w:rPr>
        <w:t>Author Note</w:t>
      </w:r>
    </w:p>
    <w:p w14:paraId="2DB21349" w14:textId="5C8DD565" w:rsidR="002F357E" w:rsidRDefault="002F357E" w:rsidP="002F357E">
      <w:pPr>
        <w:spacing w:line="480" w:lineRule="auto"/>
        <w:rPr>
          <w:rFonts w:cstheme="minorHAnsi"/>
        </w:rPr>
      </w:pPr>
      <w:r>
        <w:rPr>
          <w:rFonts w:cstheme="minorHAnsi"/>
        </w:rPr>
        <w:tab/>
        <w:t xml:space="preserve">The Undergraduate Honors Thesis Committee consisted of Dr. Tracy Riggins, Dr. Robert </w:t>
      </w:r>
      <w:proofErr w:type="spellStart"/>
      <w:r>
        <w:rPr>
          <w:rFonts w:cstheme="minorHAnsi"/>
        </w:rPr>
        <w:t>Slevc</w:t>
      </w:r>
      <w:proofErr w:type="spellEnd"/>
      <w:r>
        <w:rPr>
          <w:rFonts w:cstheme="minorHAnsi"/>
        </w:rPr>
        <w:t xml:space="preserve">, and Dr. Amanda </w:t>
      </w:r>
      <w:proofErr w:type="spellStart"/>
      <w:r>
        <w:rPr>
          <w:rFonts w:cstheme="minorHAnsi"/>
        </w:rPr>
        <w:t>Chicoli</w:t>
      </w:r>
      <w:proofErr w:type="spellEnd"/>
      <w:r>
        <w:rPr>
          <w:rFonts w:cstheme="minorHAnsi"/>
        </w:rPr>
        <w:t>. Special thanks to graduate student Tamara Allard for her mentorship and to the Neurocognitive Development Lab at the University of Maryland, under Dr. Tracy Riggins.</w:t>
      </w:r>
      <w:r>
        <w:rPr>
          <w:rFonts w:cstheme="minorHAnsi"/>
        </w:rPr>
        <w:br w:type="page"/>
      </w:r>
    </w:p>
    <w:p w14:paraId="7ACBA651" w14:textId="27277424" w:rsidR="002C5BB6" w:rsidRPr="00E64FE4" w:rsidRDefault="002C5BB6" w:rsidP="00A04B5D">
      <w:pPr>
        <w:spacing w:after="0" w:line="480" w:lineRule="auto"/>
        <w:jc w:val="center"/>
        <w:rPr>
          <w:rFonts w:cstheme="minorHAnsi"/>
          <w:b/>
          <w:bCs/>
        </w:rPr>
      </w:pPr>
      <w:r w:rsidRPr="00E64FE4">
        <w:rPr>
          <w:rFonts w:cstheme="minorHAnsi"/>
          <w:b/>
          <w:bCs/>
        </w:rPr>
        <w:lastRenderedPageBreak/>
        <w:t>Abstract</w:t>
      </w:r>
    </w:p>
    <w:p w14:paraId="5DAAC26F" w14:textId="5A282C99" w:rsidR="000E4235" w:rsidRDefault="000E4235" w:rsidP="000E4235">
      <w:pPr>
        <w:spacing w:after="0" w:line="480" w:lineRule="auto"/>
        <w:rPr>
          <w:rFonts w:cstheme="minorHAnsi"/>
        </w:rPr>
      </w:pPr>
      <w:r w:rsidRPr="00265642">
        <w:rPr>
          <w:rFonts w:cstheme="minorHAnsi"/>
        </w:rPr>
        <w:t xml:space="preserve">When we sleep, our memories are consolidated and become less vulnerable to interference, both during overnight sleep and </w:t>
      </w:r>
      <w:r>
        <w:rPr>
          <w:rFonts w:cstheme="minorHAnsi"/>
        </w:rPr>
        <w:t xml:space="preserve">during </w:t>
      </w:r>
      <w:r w:rsidRPr="00265642">
        <w:rPr>
          <w:rFonts w:cstheme="minorHAnsi"/>
        </w:rPr>
        <w:t>naps. Previous research in adults suggests this effect is at least partially due to a “transfer” of these memories from the hippocampus to the cortex. Although a similar process</w:t>
      </w:r>
      <w:r>
        <w:rPr>
          <w:rFonts w:cstheme="minorHAnsi"/>
        </w:rPr>
        <w:t xml:space="preserve"> likely</w:t>
      </w:r>
      <w:r w:rsidRPr="00265642">
        <w:rPr>
          <w:rFonts w:cstheme="minorHAnsi"/>
        </w:rPr>
        <w:t xml:space="preserve"> takes place in young children, there is little research investigating it. The existing literature suggests habitually napping children </w:t>
      </w:r>
      <w:r>
        <w:rPr>
          <w:rFonts w:cstheme="minorHAnsi"/>
        </w:rPr>
        <w:t xml:space="preserve">may </w:t>
      </w:r>
      <w:r w:rsidRPr="00265642">
        <w:rPr>
          <w:rFonts w:cstheme="minorHAnsi"/>
        </w:rPr>
        <w:t xml:space="preserve">need naps more than non-habitually napping children because their </w:t>
      </w:r>
      <w:r>
        <w:rPr>
          <w:rFonts w:cstheme="minorHAnsi"/>
        </w:rPr>
        <w:t xml:space="preserve">brain </w:t>
      </w:r>
      <w:r w:rsidRPr="00265642">
        <w:rPr>
          <w:rFonts w:cstheme="minorHAnsi"/>
        </w:rPr>
        <w:t>is less mature. This study aims to examine relation</w:t>
      </w:r>
      <w:r>
        <w:rPr>
          <w:rFonts w:cstheme="minorHAnsi"/>
        </w:rPr>
        <w:t>s</w:t>
      </w:r>
      <w:r w:rsidRPr="00265642">
        <w:rPr>
          <w:rFonts w:cstheme="minorHAnsi"/>
        </w:rPr>
        <w:t xml:space="preserve"> between habitual versus non-habitual nappers and </w:t>
      </w:r>
      <w:r>
        <w:rPr>
          <w:rFonts w:cstheme="minorHAnsi"/>
        </w:rPr>
        <w:t>brain development</w:t>
      </w:r>
      <w:r w:rsidRPr="00265642">
        <w:rPr>
          <w:rFonts w:cstheme="minorHAnsi"/>
        </w:rPr>
        <w:t xml:space="preserve"> in early childhood.</w:t>
      </w:r>
      <w:r>
        <w:rPr>
          <w:rFonts w:cstheme="minorHAnsi"/>
        </w:rPr>
        <w:t xml:space="preserve"> The focus was on the hippocampus, a structure that is critical for memory and shows protected development during early childhood. At the time of this report, </w:t>
      </w:r>
      <w:r w:rsidRPr="00265642">
        <w:rPr>
          <w:rFonts w:cstheme="minorHAnsi"/>
        </w:rPr>
        <w:t xml:space="preserve">21 </w:t>
      </w:r>
      <w:r>
        <w:rPr>
          <w:rFonts w:cstheme="minorHAnsi"/>
        </w:rPr>
        <w:t xml:space="preserve">children provided </w:t>
      </w:r>
      <w:r w:rsidRPr="00265642">
        <w:rPr>
          <w:rFonts w:cstheme="minorHAnsi"/>
        </w:rPr>
        <w:t>useable data (M</w:t>
      </w:r>
      <w:r w:rsidRPr="00265642">
        <w:rPr>
          <w:rFonts w:cstheme="minorHAnsi"/>
          <w:vertAlign w:val="subscript"/>
        </w:rPr>
        <w:t>age</w:t>
      </w:r>
      <w:r>
        <w:rPr>
          <w:rFonts w:cstheme="minorHAnsi"/>
          <w:vertAlign w:val="subscript"/>
        </w:rPr>
        <w:t xml:space="preserve"> </w:t>
      </w:r>
      <w:r w:rsidRPr="00265642">
        <w:rPr>
          <w:rFonts w:cstheme="minorHAnsi"/>
        </w:rPr>
        <w:t>= 4.49 years, SD</w:t>
      </w:r>
      <w:r>
        <w:rPr>
          <w:rFonts w:cstheme="minorHAnsi"/>
        </w:rPr>
        <w:t xml:space="preserve"> </w:t>
      </w:r>
      <w:r w:rsidRPr="00265642">
        <w:rPr>
          <w:rFonts w:cstheme="minorHAnsi"/>
        </w:rPr>
        <w:t>=</w:t>
      </w:r>
      <w:r>
        <w:rPr>
          <w:rFonts w:cstheme="minorHAnsi"/>
        </w:rPr>
        <w:t xml:space="preserve"> </w:t>
      </w:r>
      <w:r w:rsidRPr="00265642">
        <w:rPr>
          <w:rFonts w:cstheme="minorHAnsi"/>
        </w:rPr>
        <w:t>0.51, 9 female). Of the</w:t>
      </w:r>
      <w:r>
        <w:rPr>
          <w:rFonts w:cstheme="minorHAnsi"/>
        </w:rPr>
        <w:t>se</w:t>
      </w:r>
      <w:r w:rsidRPr="00265642">
        <w:rPr>
          <w:rFonts w:cstheme="minorHAnsi"/>
        </w:rPr>
        <w:t xml:space="preserve"> participants, 8 were </w:t>
      </w:r>
      <w:r>
        <w:rPr>
          <w:rFonts w:cstheme="minorHAnsi"/>
        </w:rPr>
        <w:t xml:space="preserve">habitual </w:t>
      </w:r>
      <w:r w:rsidRPr="00265642">
        <w:rPr>
          <w:rFonts w:cstheme="minorHAnsi"/>
        </w:rPr>
        <w:t>nappers and 13 were non-</w:t>
      </w:r>
      <w:r>
        <w:rPr>
          <w:rFonts w:cstheme="minorHAnsi"/>
        </w:rPr>
        <w:t xml:space="preserve">habitual </w:t>
      </w:r>
      <w:r w:rsidRPr="00265642">
        <w:rPr>
          <w:rFonts w:cstheme="minorHAnsi"/>
        </w:rPr>
        <w:t>nappers. Hippocampal volumes were extracted</w:t>
      </w:r>
      <w:r>
        <w:rPr>
          <w:rFonts w:cstheme="minorHAnsi"/>
        </w:rPr>
        <w:t xml:space="preserve"> using a combination of manual and automated methods. </w:t>
      </w:r>
      <w:r w:rsidRPr="00265642">
        <w:rPr>
          <w:rFonts w:cstheme="minorHAnsi"/>
        </w:rPr>
        <w:t>Results revealed</w:t>
      </w:r>
      <w:r>
        <w:rPr>
          <w:rFonts w:cstheme="minorHAnsi"/>
        </w:rPr>
        <w:t xml:space="preserve"> </w:t>
      </w:r>
      <w:r w:rsidRPr="00265642">
        <w:rPr>
          <w:rFonts w:cstheme="minorHAnsi"/>
        </w:rPr>
        <w:t xml:space="preserve">in </w:t>
      </w:r>
      <w:r w:rsidR="00A52E43">
        <w:rPr>
          <w:rFonts w:cstheme="minorHAnsi"/>
        </w:rPr>
        <w:t xml:space="preserve">the </w:t>
      </w:r>
      <w:r>
        <w:rPr>
          <w:rFonts w:cstheme="minorHAnsi"/>
        </w:rPr>
        <w:t xml:space="preserve">left </w:t>
      </w:r>
      <w:r w:rsidRPr="00265642">
        <w:rPr>
          <w:rFonts w:cstheme="minorHAnsi"/>
        </w:rPr>
        <w:t>hippocampal tail</w:t>
      </w:r>
      <w:r>
        <w:rPr>
          <w:rFonts w:cstheme="minorHAnsi"/>
        </w:rPr>
        <w:t xml:space="preserve">, habitual </w:t>
      </w:r>
      <w:r w:rsidRPr="00265642">
        <w:rPr>
          <w:rFonts w:cstheme="minorHAnsi"/>
        </w:rPr>
        <w:t>nappers had larger volumes compared to non-</w:t>
      </w:r>
      <w:r>
        <w:rPr>
          <w:rFonts w:cstheme="minorHAnsi"/>
        </w:rPr>
        <w:t xml:space="preserve">habitual </w:t>
      </w:r>
      <w:r w:rsidRPr="00265642">
        <w:rPr>
          <w:rFonts w:cstheme="minorHAnsi"/>
        </w:rPr>
        <w:t xml:space="preserve">nappers. Although these are preliminary results and do not survive correction for multiple comparisons, the findings support that variation in hippocampal development may relate to nap status in developing children. Future research will </w:t>
      </w:r>
      <w:r>
        <w:rPr>
          <w:rFonts w:cstheme="minorHAnsi"/>
        </w:rPr>
        <w:t>examine a larger</w:t>
      </w:r>
      <w:r w:rsidRPr="00265642">
        <w:rPr>
          <w:rFonts w:cstheme="minorHAnsi"/>
        </w:rPr>
        <w:t xml:space="preserve"> sample size and investigate other brain regions to determine the specificity of these effects.</w:t>
      </w:r>
    </w:p>
    <w:p w14:paraId="36C29F5C" w14:textId="56055514" w:rsidR="000E50B6" w:rsidRPr="000E50B6" w:rsidRDefault="000E50B6" w:rsidP="000E4235">
      <w:pPr>
        <w:spacing w:after="0" w:line="480" w:lineRule="auto"/>
        <w:ind w:firstLine="720"/>
        <w:rPr>
          <w:rFonts w:cstheme="minorHAnsi"/>
        </w:rPr>
      </w:pPr>
      <w:r>
        <w:rPr>
          <w:rFonts w:cstheme="minorHAnsi"/>
          <w:i/>
          <w:iCs/>
        </w:rPr>
        <w:t>Keywords:</w:t>
      </w:r>
      <w:r>
        <w:rPr>
          <w:rFonts w:cstheme="minorHAnsi"/>
        </w:rPr>
        <w:t xml:space="preserve"> hippocampus, memory, sleep, napping, child development</w:t>
      </w:r>
    </w:p>
    <w:p w14:paraId="03DECF83" w14:textId="77777777" w:rsidR="003E761B" w:rsidRDefault="003E761B" w:rsidP="000C556A">
      <w:pPr>
        <w:spacing w:line="480" w:lineRule="auto"/>
        <w:rPr>
          <w:rFonts w:cstheme="minorHAnsi"/>
        </w:rPr>
      </w:pPr>
      <w:r>
        <w:rPr>
          <w:rFonts w:cstheme="minorHAnsi"/>
        </w:rPr>
        <w:br w:type="page"/>
      </w:r>
    </w:p>
    <w:p w14:paraId="15E44013" w14:textId="77777777" w:rsidR="00417CE9" w:rsidRDefault="00417CE9" w:rsidP="00417CE9">
      <w:pPr>
        <w:spacing w:after="0" w:line="480" w:lineRule="auto"/>
        <w:jc w:val="center"/>
        <w:rPr>
          <w:rFonts w:cstheme="minorHAnsi"/>
          <w:b/>
          <w:bCs/>
        </w:rPr>
      </w:pPr>
      <w:bookmarkStart w:id="0" w:name="_Hlk38535233"/>
      <w:r w:rsidRPr="00F72C4D">
        <w:rPr>
          <w:rFonts w:cstheme="minorHAnsi"/>
          <w:b/>
          <w:bCs/>
        </w:rPr>
        <w:lastRenderedPageBreak/>
        <w:t xml:space="preserve">Exploring Differences in </w:t>
      </w:r>
      <w:r>
        <w:rPr>
          <w:rFonts w:cstheme="minorHAnsi"/>
          <w:b/>
          <w:bCs/>
        </w:rPr>
        <w:t>Hippocampal Structure between</w:t>
      </w:r>
      <w:r w:rsidRPr="00F72C4D">
        <w:rPr>
          <w:rFonts w:cstheme="minorHAnsi"/>
          <w:b/>
          <w:bCs/>
        </w:rPr>
        <w:t xml:space="preserve"> Habitual vs Non-habitual Nappers </w:t>
      </w:r>
      <w:r>
        <w:rPr>
          <w:rFonts w:cstheme="minorHAnsi"/>
          <w:b/>
          <w:bCs/>
        </w:rPr>
        <w:t>d</w:t>
      </w:r>
      <w:r w:rsidRPr="00F72C4D">
        <w:rPr>
          <w:rFonts w:cstheme="minorHAnsi"/>
          <w:b/>
          <w:bCs/>
        </w:rPr>
        <w:t>uring Early Childhood</w:t>
      </w:r>
    </w:p>
    <w:bookmarkEnd w:id="0"/>
    <w:p w14:paraId="7A5EA076" w14:textId="77777777" w:rsidR="007E4132" w:rsidRDefault="007E4132" w:rsidP="007E4132">
      <w:pPr>
        <w:spacing w:after="0" w:line="480" w:lineRule="auto"/>
        <w:ind w:firstLine="720"/>
      </w:pPr>
      <w:r>
        <w:t xml:space="preserve">Memory is a complex and multifaceted process that is critical for daily functioning. We use it every day, from mundane things like where you parked the car or what was on the grocery list, to the memory of the first time you rode a bike or your graduation day. Imagine how life would be without a functioning memory. Many factors influence our ability to remember. One of these factors is sleep </w:t>
      </w:r>
      <w:r>
        <w:fldChar w:fldCharType="begin" w:fldLock="1"/>
      </w:r>
      <w:r>
        <w:instrText>ADDIN CSL_CITATION {"citationItems":[{"id":"ITEM-1","itemData":{"DOI":"10.1038/nn.3303","ISSN":"10976256","PMID":"23354387","abstract":"The brain does not retain all the information it encodes in a day. Much is forgotten, and of those memories retained, their subsequent evolution can follow any of a number of pathways. Emerging data makes clear that sleep is a compelling candidate for performing many of these operations. But how does the sleeping brain know which information to preserve and which to forget? What should sleep do with that information it chooses to keep? For information that is retained, sleep can integrate it into existing memory networks, look for common patterns and distill overarching rules, or simply stabilize and strengthen the memory exactly as it was learned. We suggest such 'memory triage' lies at the heart of a sleep-dependent memory processing system that selects new information, in a discriminatory manner, and assimilates it into the brain's vast armamentarium of evolving knowledge, helping guide each organism through its own, unique life. © 2013 Nature America, Inc. All rights reserved.","author":[{"dropping-particle":"","family":"Stickgold","given":"Robert","non-dropping-particle":"","parse-names":false,"suffix":""},{"dropping-particle":"","family":"Walker","given":"Matthew P.","non-dropping-particle":"","parse-names":false,"suffix":""}],"container-title":"Nature Neuroscience","id":"ITEM-1","issued":{"date-parts":[["2013"]]},"title":"Sleep-dependent memory triage: Evolving generalization through selective processing","type":"article"},"uris":["http://www.mendeley.com/documents/?uuid=07c5f1d3-eee0-4518-9943-bc2b0f884d70"]}],"mendeley":{"formattedCitation":"(Stickgold &amp; Walker, 2013)","plainTextFormattedCitation":"(Stickgold &amp; Walker, 2013)","previouslyFormattedCitation":"(Stickgold &amp; Walker, 2013)"},"properties":{"noteIndex":0},"schema":"https://github.com/citation-style-language/schema/raw/master/csl-citation.json"}</w:instrText>
      </w:r>
      <w:r>
        <w:fldChar w:fldCharType="separate"/>
      </w:r>
      <w:r w:rsidRPr="00AD26BD">
        <w:rPr>
          <w:noProof/>
        </w:rPr>
        <w:t>(Stickgold &amp; Walker, 2013)</w:t>
      </w:r>
      <w:r>
        <w:fldChar w:fldCharType="end"/>
      </w:r>
      <w:r>
        <w:t>. Sleep plays a role in memory consolidation, or how the memories are solidified and made less vulnerable to interference. It is thought that memories are at least partially consolidated during sleep, and these memories are transferred from the hippocampus to the cortex. This process not only occurs during overnight sleep but also during daytime naps.</w:t>
      </w:r>
    </w:p>
    <w:p w14:paraId="1B3EBD17" w14:textId="4B48C451" w:rsidR="007E4132" w:rsidRDefault="007E4132" w:rsidP="007E4132">
      <w:pPr>
        <w:spacing w:after="0" w:line="480" w:lineRule="auto"/>
        <w:ind w:firstLine="720"/>
      </w:pPr>
      <w:r>
        <w:t xml:space="preserve">Memory consolidation across sleep has been demonstrated in both adults and children. Although the importance of sleep has been well-established in adults, there have been fewer studies in childhood, specifically during the preschool years. This developmental period (i.e., ages 3 - 5 years) is particularly interesting because children begin to transition out of their afternoon nap. One pioneering study investigated memory to explore </w:t>
      </w:r>
      <w:r w:rsidR="00E11AF5">
        <w:t xml:space="preserve">the </w:t>
      </w:r>
      <w:r>
        <w:t xml:space="preserve">potential impact of nap transition on memory using behavioral and sleep physiology measures </w:t>
      </w:r>
      <w:r>
        <w:fldChar w:fldCharType="begin" w:fldLock="1"/>
      </w:r>
      <w:r>
        <w:instrText>ADDIN CSL_CITATION {"citationItems":[{"id":"ITEM-1","itemData":{"DOI":"10.1073/pnas.1306418110","ISSN":"00278424 10916490","abstract":"Despite the fact that midday naps are characteristic of early childhood, very little is understood about the structure and function of these sleep bouts. Given that sleep benefits memory in young adults, it is possible that naps serve a similar function for young children. However, children transition from biphasic to monophasic sleep patterns in early childhood, eliminating the nap from their daily sleep schedule. As such, naps may contain mostly light sleep stages and serve little function for learning and memory during this transitional age. Lacking scientific understanding of the function of naps in early childhood, policy makers may eliminate preschool classroom nap opportunities due to increasing curriculum demands. Here we show evidence that classroom naps support learning in preschool children by enhancing memories acquired earlier in the day compared with equivalent intervals spent awake. This nap benefit is greatest for children who nap habitually, regardless of age. Performance losses when nap-deprived are not recovered during subsequent overnight sleep. Physiological recordings of naps support a role of sleep spindles in memory performance. These results suggest that distributed sleep is critical in early learning; when short-term memory stores are limited, memory consolidation must take place frequently.","author":[{"dropping-particle":"","family":"Kurdziel","given":"L.","non-dropping-particle":"","parse-names":false,"suffix":""},{"dropping-particle":"","family":"Duclos","given":"K.","non-dropping-particle":"","parse-names":false,"suffix":""},{"dropping-particle":"","family":"Spencer","given":"R.M.C.","non-dropping-particle":"","parse-names":false,"suffix":""}],"container-title":"Proceedings of the National Academy of Sciences of the United States of America","id":"ITEM-1","issue":"43","issued":{"date-parts":[["2013"]]},"page":"17267-17272","title":"Sleep spindles in midday naps enhance learning in preschool children","type":"article-journal","volume":"110"},"uris":["http://www.mendeley.com/documents/?uuid=1c991f1b-9645-4348-9574-76b42eee34f2"]}],"mendeley":{"formattedCitation":"(Kurdziel et al., 2013)","plainTextFormattedCitation":"(Kurdziel et al., 2013)","previouslyFormattedCitation":"(Kurdziel et al., 2013)"},"properties":{"noteIndex":0},"schema":"https://github.com/citation-style-language/schema/raw/master/csl-citation.json"}</w:instrText>
      </w:r>
      <w:r>
        <w:fldChar w:fldCharType="separate"/>
      </w:r>
      <w:r w:rsidRPr="00D93059">
        <w:rPr>
          <w:noProof/>
        </w:rPr>
        <w:t>(Kurdziel et al., 2013)</w:t>
      </w:r>
      <w:r>
        <w:fldChar w:fldCharType="end"/>
      </w:r>
      <w:r>
        <w:t xml:space="preserve">. This study used a spatial memory game and compared children’s memory in the afternoon on days when they napped and days when they were kept awake. The results showed children who were prevented from napping performed worse on the memory task compared to those who did nap, and that this effect was more apparent in </w:t>
      </w:r>
      <w:r>
        <w:rPr>
          <w:i/>
          <w:iCs/>
        </w:rPr>
        <w:t>habitual</w:t>
      </w:r>
      <w:r>
        <w:t xml:space="preserve"> nappers, regardless of the child’s age. Measures of sleep physiology (i.e., brain activity during sleep) were related to memory performance, which the authors argued supported the notion that sleep distributed throughout the day is necessary for memory consolidation in early stages of development </w:t>
      </w:r>
      <w:r>
        <w:fldChar w:fldCharType="begin" w:fldLock="1"/>
      </w:r>
      <w:r>
        <w:instrText>ADDIN CSL_CITATION {"citationItems":[{"id":"ITEM-1","itemData":{"DOI":"10.1073/pnas.1306418110","ISSN":"00278424 10916490","abstract":"Despite the fact that midday naps are characteristic of early childhood, very little is understood about the structure and function of these sleep bouts. Given that sleep benefits memory in young adults, it is possible that naps serve a similar function for young children. However, children transition from biphasic to monophasic sleep patterns in early childhood, eliminating the nap from their daily sleep schedule. As such, naps may contain mostly light sleep stages and serve little function for learning and memory during this transitional age. Lacking scientific understanding of the function of naps in early childhood, policy makers may eliminate preschool classroom nap opportunities due to increasing curriculum demands. Here we show evidence that classroom naps support learning in preschool children by enhancing memories acquired earlier in the day compared with equivalent intervals spent awake. This nap benefit is greatest for children who nap habitually, regardless of age. Performance losses when nap-deprived are not recovered during subsequent overnight sleep. Physiological recordings of naps support a role of sleep spindles in memory performance. These results suggest that distributed sleep is critical in early learning; when short-term memory stores are limited, memory consolidation must take place frequently.","author":[{"dropping-particle":"","family":"Kurdziel","given":"L.","non-dropping-particle":"","parse-names":false,"suffix":""},{"dropping-particle":"","family":"Duclos","given":"K.","non-dropping-particle":"","parse-names":false,"suffix":""},{"dropping-particle":"","family":"Spencer","given":"R.M.C.","non-dropping-particle":"","parse-names":false,"suffix":""}],"container-title":"Proceedings of the National Academy of Sciences of the United States of America","id":"ITEM-1","issue":"43","issued":{"date-parts":[["2013"]]},"page":"17267-17272","title":"Sleep spindles in midday naps enhance learning in preschool children","type":"article-journal","volume":"110"},"uris":["http://www.mendeley.com/documents/?uuid=1c991f1b-9645-4348-9574-76b42eee34f2"]}],"mendeley":{"formattedCitation":"(Kurdziel et al., 2013)","plainTextFormattedCitation":"(Kurdziel et al., 2013)","previouslyFormattedCitation":"(Kurdziel et al., 2013)"},"properties":{"noteIndex":0},"schema":"https://github.com/citation-style-language/schema/raw/master/csl-citation.json"}</w:instrText>
      </w:r>
      <w:r>
        <w:fldChar w:fldCharType="separate"/>
      </w:r>
      <w:r w:rsidRPr="00F63AC5">
        <w:rPr>
          <w:noProof/>
        </w:rPr>
        <w:t>(Kurdziel et al., 2013)</w:t>
      </w:r>
      <w:r>
        <w:fldChar w:fldCharType="end"/>
      </w:r>
      <w:r>
        <w:t>. This could provide some critical insight to the connection between brain development, sleep, and memory.</w:t>
      </w:r>
    </w:p>
    <w:p w14:paraId="50E8D653" w14:textId="77777777" w:rsidR="007E4132" w:rsidRDefault="007E4132" w:rsidP="007E4132">
      <w:pPr>
        <w:spacing w:after="0" w:line="480" w:lineRule="auto"/>
        <w:ind w:firstLine="720"/>
      </w:pPr>
      <w:r>
        <w:lastRenderedPageBreak/>
        <w:t xml:space="preserve">These findings suggest children need to nap because their brain is less mature, which is consistent with more general literature on sleep and cognitive development that suggests phasing out of napping is a “developmental milestone” </w:t>
      </w:r>
      <w:r>
        <w:fldChar w:fldCharType="begin" w:fldLock="1"/>
      </w:r>
      <w:r>
        <w:instrText>ADDIN CSL_CITATION {"citationItems":[{"id":"ITEM-1","itemData":{"DOI":"10.1097/DBP.0b013e318207ecc7","ISSN":"0196206X","abstract":"OBJECTIVE: To determine the relationship between napping and cognitive function in preschool-aged children. METHODS: Daytime napping, nighttime sleep, and cognitive function were assessed in 59 typically developing children aged 3 to 5 years, who were enrolled in full-time childcare. Participants wore an actigraphy watch for 7 days to measure sleep and napping patterns and completed neuropsychological testing emphasizing attention, response control, and vocabulary. Parents of participants completed behavior ratings and sleep logs during the study. Sleep/wake cycles were scored with the Sadeh algorithm. RESULTS: Children who napped more on weekdays were also more likely to nap during weekends. Weekday napping and nighttime sleep were inversely correlated, such that those who napped more slept less at night, although total weekday sleep remained relatively constant. Weekday napping was significantly (negatively) correlated with vocabulary and auditory attention span, and weekday nighttime sleep was positively correlated with vocabulary. Nighttime sleep was also significantly negatively correlated with performance, such that those who slept less at night made more impulsive errors on a computerized go/no-go test. CONCLUSIONS: Daytime napping is actually negatively correlated with neurocognitive function in preschoolers. Nighttime sleep seems to be more critical for development of cognitive performance. Cessation of napping may serve as a developmental milestone of brain maturation. Children who nap less do not appear to be sleep deprived, especially if they compensate with increased nighttime sleep. An alternative explanation is that children who sleep less at night are sleep deprived and require a nap. A randomized trial of nap restriction would be the next step in understanding the relationship between napping and neurocognitive performance. © 2011 Lippincott Williams &amp; Wilkins.","author":[{"dropping-particle":"","family":"Lam","given":"Janet C.","non-dropping-particle":"","parse-names":false,"suffix":""},{"dropping-particle":"","family":"Mahone","given":"E. Mark","non-dropping-particle":"","parse-names":false,"suffix":""},{"dropping-particle":"","family":"Mason","given":"Thornton","non-dropping-particle":"","parse-names":false,"suffix":""},{"dropping-particle":"","family":"Scharf","given":"Steven M.","non-dropping-particle":"","parse-names":false,"suffix":""}],"container-title":"Journal of Developmental and Behavioral Pediatrics","id":"ITEM-1","issued":{"date-parts":[["2011"]]},"title":"The effects of napping on cognitive function in preschoolers","type":"article-journal"},"uris":["http://www.mendeley.com/documents/?uuid=96387177-4f11-4370-b430-f1055f48668b"]}],"mendeley":{"formattedCitation":"(Lam et al., 2011)","plainTextFormattedCitation":"(Lam et al., 2011)","previouslyFormattedCitation":"(Lam et al., 2011)"},"properties":{"noteIndex":0},"schema":"https://github.com/citation-style-language/schema/raw/master/csl-citation.json"}</w:instrText>
      </w:r>
      <w:r>
        <w:fldChar w:fldCharType="separate"/>
      </w:r>
      <w:r w:rsidRPr="004B75D6">
        <w:rPr>
          <w:noProof/>
        </w:rPr>
        <w:t>(Lam et al., 2011)</w:t>
      </w:r>
      <w:r>
        <w:fldChar w:fldCharType="end"/>
      </w:r>
      <w:r>
        <w:t xml:space="preserve">. Therefore, examining the brain directly in young children could give insight to what neural changes might occur as a result of this transition, or perhaps the neural changes are what cause the transition out of naps. </w:t>
      </w:r>
    </w:p>
    <w:p w14:paraId="0F73061F" w14:textId="2BCADA7F" w:rsidR="007E4132" w:rsidRDefault="007E4132" w:rsidP="007E4132">
      <w:pPr>
        <w:spacing w:after="0" w:line="480" w:lineRule="auto"/>
        <w:ind w:firstLine="720"/>
      </w:pPr>
      <w:r>
        <w:t xml:space="preserve">One candidate brain region is the hippocampus, which has been shown to be related to many types of memory, including spatial memory, verbal/narrative memory, episodic memory, and general encoding </w:t>
      </w:r>
      <w:r>
        <w:fldChar w:fldCharType="begin" w:fldLock="1"/>
      </w:r>
      <w:r>
        <w:instrText>ADDIN CSL_CITATION {"citationItems":[{"id":"ITEM-1","itemData":{"DOI":"10.1016/S0896-6273(02)00830-9","ISSN":"08966273","PMID":"12194864","abstract":"Finding one's way around an environment and remembering the events that occur within it are crucial cognitive abilities that have been linked to the hippocampus and medial temporal lobes. Our review of neuropsychological, behavioral, and neuroimaging studies of human hippocampal involvement in spatial memory concentrates on three important concepts in this field: spatial frameworks, dimensionality, and orientation and self-motion. We also compare variation in hippocampal structure and function across and within species. We discuss how its spatial role relates to its accepted role in episodic memory. Five related studies use virtual reality to examine these two types of memory in ecologically valid situations. While processing of spatial scenes involves the parahippocampus, the right hippocampus appears particularly involved in memory for locations within an environment, with the left hippocampus more involved in context-dependent episodic or autobiographical memory.","author":[{"dropping-particle":"","family":"Burgess","given":"Neil","non-dropping-particle":"","parse-names":false,"suffix":""},{"dropping-particle":"","family":"Maguire","given":"Eleanor A.","non-dropping-particle":"","parse-names":false,"suffix":""},{"dropping-particle":"","family":"O'Keefe","given":"John","non-dropping-particle":"","parse-names":false,"suffix":""}],"container-title":"Neuron","id":"ITEM-1","issued":{"date-parts":[["2002"]]},"title":"The human hippocampus and spatial and episodic memory","type":"article"},"uris":["http://www.mendeley.com/documents/?uuid=db014ab5-131c-4a64-817c-6c98090846b6"]}],"mendeley":{"formattedCitation":"(Burgess et al., 2002)","plainTextFormattedCitation":"(Burgess et al., 2002)","previouslyFormattedCitation":"(Burgess et al., 2002)"},"properties":{"noteIndex":0},"schema":"https://github.com/citation-style-language/schema/raw/master/csl-citation.json"}</w:instrText>
      </w:r>
      <w:r>
        <w:fldChar w:fldCharType="separate"/>
      </w:r>
      <w:r w:rsidRPr="006367B7">
        <w:rPr>
          <w:noProof/>
        </w:rPr>
        <w:t>(Burgess et al., 2002)</w:t>
      </w:r>
      <w:r>
        <w:fldChar w:fldCharType="end"/>
      </w:r>
      <w:r>
        <w:t xml:space="preserve">. The hippocampus can be divided in multiple ways. For example, there exist defined subfields within the hippocampus – four </w:t>
      </w:r>
      <w:proofErr w:type="spellStart"/>
      <w:r>
        <w:t>cornu</w:t>
      </w:r>
      <w:proofErr w:type="spellEnd"/>
      <w:r>
        <w:t xml:space="preserve"> </w:t>
      </w:r>
      <w:proofErr w:type="spellStart"/>
      <w:r>
        <w:t>ammonis</w:t>
      </w:r>
      <w:proofErr w:type="spellEnd"/>
      <w:r>
        <w:t xml:space="preserve"> structures (CA1, CA2, CA3, and CA4), the dentate gyrus, and the subiculum </w:t>
      </w:r>
      <w:r>
        <w:fldChar w:fldCharType="begin" w:fldLock="1"/>
      </w:r>
      <w:r>
        <w:instrText>ADDIN CSL_CITATION {"citationItems":[{"id":"ITEM-1","itemData":{"DOI":"10.1002/hipo.22717","ISSN":"10981063","abstract":"The hippocampus is one of the most interesting and studied brain regions because of its involvement in memory functions and its vulnerability in pathological conditions, such as neurodegenerative processes. In the recent years, the increasing availability of Magnetic Resonance Imaging (MRI) scanners that operate at ultra-high field (UHF), that is, with static magnetic field strength ≥7T, has opened new research perspectives. Compared to conventional high-field scanners, these systems can provide new contrasts, increased signal-to-noise ratio and higher spatial resolution, thus they may improve the visualization of very small structures of the brain, such as the hippocampal subfields. Studying the morphometry of the hippocampus is crucial in neuroimaging research because changes in volume and thickness of hippocampal subregions may be relevant in the early assessment of pathological cognitive decline and Alzheimer's Disease (AD). The present review provides an overview of the manual, semi-automated and fully automated methods that allow the assessment of hippocampal subfield morphometry at UHF MRI, focusing on the different hippocampal segmentation produced. © 2017 Wiley Periodicals, Inc.","author":[{"dropping-particle":"","family":"Giuliano","given":"Alessia","non-dropping-particle":"","parse-names":false,"suffix":""},{"dropping-particle":"","family":"Donatelli","given":"Graziella","non-dropping-particle":"","parse-names":false,"suffix":""},{"dropping-particle":"","family":"Cosottini","given":"Mirco","non-dropping-particle":"","parse-names":false,"suffix":""},{"dropping-particle":"","family":"Tosetti","given":"Michela","non-dropping-particle":"","parse-names":false,"suffix":""},{"dropping-particle":"","family":"Retico","given":"Alessandra","non-dropping-particle":"","parse-names":false,"suffix":""},{"dropping-particle":"","family":"Fantacci","given":"Maria Evelina","non-dropping-particle":"","parse-names":false,"suffix":""}],"container-title":"Hippocampus","id":"ITEM-1","issued":{"date-parts":[["2017"]]},"title":"Hippocampal subfields at ultra high field MRI: An overview of segmentation and measurement methods","type":"article-journal"},"uris":["http://www.mendeley.com/documents/?uuid=920368fb-d191-4375-9108-444ccda1ee8b"]}],"mendeley":{"formattedCitation":"(Giuliano et al., 2017)","plainTextFormattedCitation":"(Giuliano et al., 2017)"},"properties":{"noteIndex":0},"schema":"https://github.com/citation-style-language/schema/raw/master/csl-citation.json"}</w:instrText>
      </w:r>
      <w:r>
        <w:fldChar w:fldCharType="separate"/>
      </w:r>
      <w:r w:rsidRPr="00AD4876">
        <w:rPr>
          <w:noProof/>
        </w:rPr>
        <w:t>(Giuliano et al., 2017)</w:t>
      </w:r>
      <w:r>
        <w:fldChar w:fldCharType="end"/>
      </w:r>
      <w:r>
        <w:t xml:space="preserve">. It can also be separated into subregions of head, body, and tail. Research suggests in adults, larger posterior hippocampal volumes and smaller anterior hippocampal volumes have been shown to relate to increased recollection </w:t>
      </w:r>
      <w:r>
        <w:fldChar w:fldCharType="begin" w:fldLock="1"/>
      </w:r>
      <w:r>
        <w:instrText>ADDIN CSL_CITATION {"citationItems":[{"id":"ITEM-1","itemData":{"DOI":"10.1016/j.neuron.2011.10.014","ISSN":"08966273","abstract":"The hippocampus is known to support recollection memory, but the relation between its structure and recollection in healthy adults has not been established. Here we show that the hippocampus (including subiculum, DG, and CA1-CA4), when separated into posterior and anterior segments, can reliably predict recollection in healthy young adults. Better memory was associated with larger posterior and smaller anterior segments, as evaluated relative to the uncal apex. Overall hippocampal volume, however, did not predict memory. This pattern was confirmed in four separate data sets from different studies and laboratories. The relationship between the posterior hippocampus and memory was mediated by the structure's functional connectivity with a neocortical network identified during a postencoding resting-state scan. The relationship was also weakest in an experiment involving no appreciable study-test interval. These findings suggest that enhanced posterior-hippocampal postencoding processes may account for the memory benefit associated with larger posterior hippocampi. © 2011 Elsevier Inc.","author":[{"dropping-particle":"","family":"Poppenk","given":"Jordan","non-dropping-particle":"","parse-names":false,"suffix":""},{"dropping-particle":"","family":"Moscovitch","given":"Morris","non-dropping-particle":"","parse-names":false,"suffix":""}],"container-title":"Neuron","id":"ITEM-1","issued":{"date-parts":[["2011"]]},"title":"A hippocampal marker of recollection memory ability among healthy young adults: Contributions of posterior and anterior segments","type":"article-journal"},"uris":["http://www.mendeley.com/documents/?uuid=15ad5e24-ad39-4242-958a-bb3f1bbf4fc7"]}],"mendeley":{"formattedCitation":"(Poppenk &amp; Moscovitch, 2011)","plainTextFormattedCitation":"(Poppenk &amp; Moscovitch, 2011)","previouslyFormattedCitation":"(Poppenk &amp; Moscovitch, 2011)"},"properties":{"noteIndex":0},"schema":"https://github.com/citation-style-language/schema/raw/master/csl-citation.json"}</w:instrText>
      </w:r>
      <w:r>
        <w:fldChar w:fldCharType="separate"/>
      </w:r>
      <w:r w:rsidRPr="007F3732">
        <w:rPr>
          <w:noProof/>
        </w:rPr>
        <w:t>(Poppenk &amp; Moscovitch, 2011)</w:t>
      </w:r>
      <w:r>
        <w:fldChar w:fldCharType="end"/>
      </w:r>
      <w:r>
        <w:t xml:space="preserve">. In children, hippocampal subregions are also related to memory, but the direction of these effects vary across age, meaning larger volumes are not always better. For example, across a few studies, it has been reported that larger volumes may be associated with better memory performance in younger children but that in older children smaller volumes are associated with better memory performance </w:t>
      </w:r>
      <w:r>
        <w:fldChar w:fldCharType="begin" w:fldLock="1"/>
      </w:r>
      <w:r>
        <w:instrText>ADDIN CSL_CITATION {"citationItems":[{"id":"ITEM-1","itemData":{"DOI":"10.1111/cdev.12445","ISSN":"14678624","abstract":"Episodic memory shows striking improvement during early childhood. However, neural contributions to these behavioral changes are not well understood. This study examined associations between episodic memory and volume of subregions (head, body, and tail) of the hippocampus-a structure known to support episodic memory in school-aged children and adults-during early childhood (n = 45). Results revealed significant positive relations between episodic memory and volume of the hippocampal head in both the left and right hemispheres for 6- but not 4-year-old children, suggesting brain-behavior relations vary across development. These findings add new information regarding neural mechanisms of change in memory development during early childhood and suggest that developmental differences in hippocampal subregions may contribute to age-related differences in episodic memory ability.","author":[{"dropping-particle":"","family":"Riggins","given":"Tracy","non-dropping-particle":"","parse-names":false,"suffix":""},{"dropping-particle":"","family":"Blankenship","given":"Sarah L.","non-dropping-particle":"","parse-names":false,"suffix":""},{"dropping-particle":"","family":"Mulligan","given":"Elizabeth","non-dropping-particle":"","parse-names":false,"suffix":""},{"dropping-particle":"","family":"Rice","given":"Katherine","non-dropping-particle":"","parse-names":false,"suffix":""},{"dropping-particle":"","family":"Redcay","given":"Elizabeth","non-dropping-particle":"","parse-names":false,"suffix":""}],"container-title":"Child Development","id":"ITEM-1","issued":{"date-parts":[["2015"]]},"title":"Developmental Differences in Relations Between Episodic Memory and Hippocampal Subregion Volume During Early Childhood","type":"article-journal"},"uris":["http://www.mendeley.com/documents/?uuid=3394ea87-8646-4c74-b5bc-cdec7127805f"]},{"id":"ITEM-2","itemData":{"DOI":"10.1016/j.neuroimage.2018.03.009","ISSN":"10959572","abstract":"The hippocampus is a structure that is critical for memory. Previous studies have shown that age-related differences in specialization along the longitudinal axis of this structure (i.e., subregions) and within its internal circuitry (i.e., subfields) relate to age-related improvements in memory in school-age children and adults. However, the influence of age on hippocampal development and its relations with memory ability earlier in life remains under-investigated. This study examined effects of age and sex on hippocampal subregion (i.e., head, body, tail) and subfield (i.e., subiculum, CA1, CA2-4/DG) volumes, and their relations with memory, using a large sample of 4- to 8-year-old children. Results examining hippocampal subregions suggest influences of both age and sex on the hippocampal head during early childhood. Results examining subfields within hippocampal head suggest these age effects may arise from CA1, whereas sex differences may arise from subiculum and CA2-4/DG. Memory ability was not associated with hippocampal subregion volume but was associated with subfield volume. Specifically, within the hippocampal head, relations between memory and CA1 were moderated by age; in younger children bigger was better, whereas in older children smaller was superior. Within the hippocampal body, smaller CA1 and larger CA2-4/DG contributed to better memory performance across all ages. Together, these results shed light on hippocampal development during early childhood and support claims that the prolonged developmental trajectory of the hippocampus contributes to memory development early in life.","author":[{"dropping-particle":"","family":"Riggins","given":"Tracy","non-dropping-particle":"","parse-names":false,"suffix":""},{"dropping-particle":"","family":"Geng","given":"Fengji","non-dropping-particle":"","parse-names":false,"suffix":""},{"dropping-particle":"","family":"Botdorf","given":"Morgan","non-dropping-particle":"","parse-names":false,"suffix":""},{"dropping-particle":"","family":"Canada","given":"Kelsey","non-dropping-particle":"","parse-names":false,"suffix":""},{"dropping-particle":"","family":"Cox","given":"Lisa","non-dropping-particle":"","parse-names":false,"suffix":""},{"dropping-particle":"","family":"Hancock","given":"Gregory R.","non-dropping-particle":"","parse-names":false,"suffix":""}],"container-title":"NeuroImage","id":"ITEM-2","issued":{"date-parts":[["2018"]]},"title":"Protracted hippocampal development is associated with age-related improvements in memory during early childhood","type":"article-journal"},"uris":["http://www.mendeley.com/documents/?uuid=f63e5d24-9591-407f-9688-ee2a09fd924b"]},{"id":"ITEM-3","itemData":{"DOI":"10.1093/cercor/bhy211","ISSN":"1047-3211","abstract":"The ability to keep similar experiences separate in memory is critical for forming unique and lasting memories, as many events share overlapping features (e.g., birthday parties, holidays). Research on memory in young children suggests their memories often lack high-resolution details, i.e., show impoverished pattern separation (PS). Recently developed assessments of PS suitable for children allow us to relate the formation of distinct, detailed memories for the development of the hippocampus, a neural structure critical for this ability in adults. The hippocampus displays a protracted developmental profile and underlies the ability to form detailed memories. This study examined age-related differences in hippocampal subfield volumes in 4- to 8-year-old children and relations with performance on a mnemonic similarity task (MST) designed to index memory specificity. Results revealed age-moderated associations between MST performance and cornu ammonis 2-4/dentate gyrus subfields. Specifically, age-related differences in the ability to form detailed memories tracked with normative patterns of volume increases followed by reductions over this age range. That is, greater volume correlated with better performance in younger children, whereas smaller volume correlated with better performance in older children. These findings support the hypothesis that developmental differences in hippocampal circuitry contribute to age-related improvements in detailed memory formation during this period.","author":[{"dropping-particle":"","family":"Canada","given":"Kelsey L","non-dropping-particle":"","parse-names":false,"suffix":""},{"dropping-particle":"","family":"Ngo","given":"Chi T","non-dropping-particle":"","parse-names":false,"suffix":""},{"dropping-particle":"","family":"Newcombe","given":"Nora S","non-dropping-particle":"","parse-names":false,"suffix":""},{"dropping-particle":"","family":"Geng","given":"Fengji","non-dropping-particle":"","parse-names":false,"suffix":""},{"dropping-particle":"","family":"Riggins","given":"Tracy","non-dropping-particle":"","parse-names":false,"suffix":""}],"container-title":"Cerebral Cortex","id":"ITEM-3","issued":{"date-parts":[["2019"]]},"title":"It’s All in the Details: Relations Between Young Children’s Developing Pattern Separation Abilities and Hippocampal Subfield Volumes","type":"article-journal"},"uris":["http://www.mendeley.com/documents/?uuid=a50afba3-6650-434b-9e12-acc4de4bb014"]}],"mendeley":{"formattedCitation":"(Canada et al., 2019; Riggins et al., 2015, 2018)","plainTextFormattedCitation":"(Canada et al., 2019; Riggins et al., 2015, 2018)","previouslyFormattedCitation":"(Canada et al., 2019; Riggins et al., 2015, 2018)"},"properties":{"noteIndex":0},"schema":"https://github.com/citation-style-language/schema/raw/master/csl-citation.json"}</w:instrText>
      </w:r>
      <w:r>
        <w:fldChar w:fldCharType="separate"/>
      </w:r>
      <w:r w:rsidRPr="00A10E36">
        <w:rPr>
          <w:noProof/>
        </w:rPr>
        <w:t>(Canada et al., 2019; Riggins et al., 2015, 2018)</w:t>
      </w:r>
      <w:r>
        <w:fldChar w:fldCharType="end"/>
      </w:r>
      <w:r>
        <w:t>. This is interesting as this “transition” is near the age when children transition out of napping.</w:t>
      </w:r>
    </w:p>
    <w:p w14:paraId="4ABE902E" w14:textId="09524D5C" w:rsidR="007E4132" w:rsidRDefault="007E4132" w:rsidP="007E4132">
      <w:pPr>
        <w:spacing w:after="0" w:line="480" w:lineRule="auto"/>
        <w:ind w:firstLine="720"/>
      </w:pPr>
      <w:r>
        <w:t xml:space="preserve">In summary, research has shown both sleep and the hippocampus are related to memory in developing children. Although the field has started to investigate the role naps play in memory, it has yet to start thoroughly investigating the relation between brain development and napping. The present study seeks to address this gap this by comparing hippocampal volumes in children of the same age, half of whom are napping habitually and half of whom have transitioned out of the nap. The main question of interest </w:t>
      </w:r>
      <w:r w:rsidR="00BD193C">
        <w:t xml:space="preserve">is </w:t>
      </w:r>
      <w:r>
        <w:t xml:space="preserve">whether there </w:t>
      </w:r>
      <w:r w:rsidR="00BD193C">
        <w:t>exists</w:t>
      </w:r>
      <w:r>
        <w:t xml:space="preserve"> a difference in hippocampal volumes – total and subregion volumes – </w:t>
      </w:r>
      <w:r>
        <w:lastRenderedPageBreak/>
        <w:t>based on nap status. Based on previous developmental studies that show age-related differences in hippocampal volumes, it was hypothesized there would be significant differences in hippocampal volumes between these nap groups, even after controlling for possible confounding factors (gender, age, and intr</w:t>
      </w:r>
      <w:r w:rsidR="003D3DAC">
        <w:t>a</w:t>
      </w:r>
      <w:r>
        <w:t xml:space="preserve">cranial volume). These findings will not only extend previous research </w:t>
      </w:r>
      <w:r>
        <w:fldChar w:fldCharType="begin" w:fldLock="1"/>
      </w:r>
      <w:r>
        <w:instrText>ADDIN CSL_CITATION {"citationItems":[{"id":"ITEM-1","itemData":{"DOI":"10.1073/pnas.1306418110","ISSN":"00278424 10916490","abstract":"Despite the fact that midday naps are characteristic of early childhood, very little is understood about the structure and function of these sleep bouts. Given that sleep benefits memory in young adults, it is possible that naps serve a similar function for young children. However, children transition from biphasic to monophasic sleep patterns in early childhood, eliminating the nap from their daily sleep schedule. As such, naps may contain mostly light sleep stages and serve little function for learning and memory during this transitional age. Lacking scientific understanding of the function of naps in early childhood, policy makers may eliminate preschool classroom nap opportunities due to increasing curriculum demands. Here we show evidence that classroom naps support learning in preschool children by enhancing memories acquired earlier in the day compared with equivalent intervals spent awake. This nap benefit is greatest for children who nap habitually, regardless of age. Performance losses when nap-deprived are not recovered during subsequent overnight sleep. Physiological recordings of naps support a role of sleep spindles in memory performance. These results suggest that distributed sleep is critical in early learning; when short-term memory stores are limited, memory consolidation must take place frequently.","author":[{"dropping-particle":"","family":"Kurdziel","given":"L.","non-dropping-particle":"","parse-names":false,"suffix":""},{"dropping-particle":"","family":"Duclos","given":"K.","non-dropping-particle":"","parse-names":false,"suffix":""},{"dropping-particle":"","family":"Spencer","given":"R.M.C.","non-dropping-particle":"","parse-names":false,"suffix":""}],"container-title":"Proceedings of the National Academy of Sciences of the United States of America","id":"ITEM-1","issue":"43","issued":{"date-parts":[["2013"]]},"page":"17267-17272","title":"Sleep spindles in midday naps enhance learning in preschool children","type":"article-journal","volume":"110"},"uris":["http://www.mendeley.com/documents/?uuid=1c991f1b-9645-4348-9574-76b42eee34f2"]}],"mendeley":{"formattedCitation":"(Kurdziel et al., 2013)","plainTextFormattedCitation":"(Kurdziel et al., 2013)","previouslyFormattedCitation":"(Kurdziel et al., 2013)"},"properties":{"noteIndex":0},"schema":"https://github.com/citation-style-language/schema/raw/master/csl-citation.json"}</w:instrText>
      </w:r>
      <w:r>
        <w:fldChar w:fldCharType="separate"/>
      </w:r>
      <w:r w:rsidRPr="009330C1">
        <w:rPr>
          <w:noProof/>
        </w:rPr>
        <w:t>(Kurdziel et al., 2013)</w:t>
      </w:r>
      <w:r>
        <w:fldChar w:fldCharType="end"/>
      </w:r>
      <w:r>
        <w:t xml:space="preserve"> but also provide empirical support for the idea that brain development, specifically the hippocampus, is related to memory improvement and children’s phasing out of naps.</w:t>
      </w:r>
    </w:p>
    <w:p w14:paraId="7C0131E9" w14:textId="22EFE351" w:rsidR="00D55DE5" w:rsidRPr="00465747" w:rsidRDefault="00D55DE5" w:rsidP="000C556A">
      <w:pPr>
        <w:spacing w:after="0" w:line="480" w:lineRule="auto"/>
        <w:ind w:firstLine="720"/>
        <w:jc w:val="center"/>
        <w:rPr>
          <w:b/>
          <w:bCs/>
        </w:rPr>
      </w:pPr>
      <w:r w:rsidRPr="00465747">
        <w:rPr>
          <w:b/>
          <w:bCs/>
        </w:rPr>
        <w:t>Method</w:t>
      </w:r>
    </w:p>
    <w:p w14:paraId="22DC7AAA" w14:textId="77777777" w:rsidR="00F46E02" w:rsidRDefault="00F46E02" w:rsidP="00F46E02">
      <w:pPr>
        <w:spacing w:after="0" w:line="480" w:lineRule="auto"/>
        <w:ind w:firstLine="720"/>
      </w:pPr>
      <w:bookmarkStart w:id="1" w:name="_Hlk37414491"/>
      <w:r>
        <w:t>This paper is part of a larger study and may be included in future papers from the Neurocognitive Development Lab at the University of Maryland. The analyses included in this paper have been pre-registered on the Open Science Framework (OSF).</w:t>
      </w:r>
    </w:p>
    <w:bookmarkEnd w:id="1"/>
    <w:p w14:paraId="7F5A90BA" w14:textId="77777777" w:rsidR="00F46E02" w:rsidRPr="00465747" w:rsidRDefault="00F46E02" w:rsidP="00F46E02">
      <w:pPr>
        <w:spacing w:after="0" w:line="480" w:lineRule="auto"/>
      </w:pPr>
      <w:r w:rsidRPr="00465747">
        <w:rPr>
          <w:b/>
          <w:bCs/>
        </w:rPr>
        <w:t>Participants</w:t>
      </w:r>
    </w:p>
    <w:p w14:paraId="506F2445" w14:textId="3CAE6A4D" w:rsidR="00F46E02" w:rsidRDefault="00F46E02" w:rsidP="00F46E02">
      <w:pPr>
        <w:spacing w:after="0" w:line="480" w:lineRule="auto"/>
        <w:ind w:firstLine="720"/>
      </w:pPr>
      <w:r>
        <w:t xml:space="preserve">Participants were part of a longitudinal study investigating the effects of napping on memory and hippocampal development in early childhood. Participants were recruited from the D.C. metropolitan area primarily through the Infant and Child Studies consortium (ICS), an existing University recruitment database. Upon recruitment, all participants were 3 to 5 years old and habitually napping (defined as napping five or more days per week). Children were excluded from the study if they had any of the following – abnormal circadian functions, history of head trauma (that involved losing consciousness), history of any brain abnormality, neurological disorder, premature birth (pregnancy less than 35 weeks), diagnosed learning disability, diagnosed psychiatric disorder, history of any developmental delay/disorder, history of autism spectrum disorder, or anything that would exclude the participant from having an MRI. </w:t>
      </w:r>
      <w:r w:rsidRPr="00A42931">
        <w:t>The present re</w:t>
      </w:r>
      <w:r>
        <w:t>p</w:t>
      </w:r>
      <w:r w:rsidRPr="00A42931">
        <w:t>ort includes data collected during the second wave of a longitudinal study. All participants tested by March 2020 were included; note sample size is smaller than expected due to the COVID-19 outbreak, which halted data collection on March 21st, 2020.</w:t>
      </w:r>
    </w:p>
    <w:p w14:paraId="52CF547D" w14:textId="0A27A166" w:rsidR="00F46E02" w:rsidRPr="00C92449" w:rsidRDefault="00F46E02" w:rsidP="00F46E02">
      <w:pPr>
        <w:spacing w:after="0" w:line="480" w:lineRule="auto"/>
        <w:ind w:firstLine="720"/>
      </w:pPr>
      <w:r w:rsidRPr="000144DE">
        <w:lastRenderedPageBreak/>
        <w:t>A total of 25 participants met criteria for inclusion. However, 4 of these participants were excluded due to unusable MRI data (9 female, 12 male; M</w:t>
      </w:r>
      <w:r w:rsidRPr="00800FD4">
        <w:rPr>
          <w:vertAlign w:val="subscript"/>
        </w:rPr>
        <w:t>age at time of MRI scan</w:t>
      </w:r>
      <w:r>
        <w:rPr>
          <w:vertAlign w:val="subscript"/>
        </w:rPr>
        <w:t xml:space="preserve"> </w:t>
      </w:r>
      <w:r w:rsidRPr="000144DE">
        <w:t>= 4.49 years, SD</w:t>
      </w:r>
      <w:r>
        <w:t xml:space="preserve"> </w:t>
      </w:r>
      <w:r w:rsidRPr="000144DE">
        <w:t>=</w:t>
      </w:r>
      <w:r>
        <w:t xml:space="preserve"> </w:t>
      </w:r>
      <w:r w:rsidRPr="000144DE">
        <w:t>0.51). Of the remaining 21 participants, 8 were considered nappers (napping 5 or more days per week) and 13 were considered non-nappers (napping 4 or less days per week). All participants were reimbursed $80 per wave and given prizes at each visit</w:t>
      </w:r>
      <w:r>
        <w:t xml:space="preserve"> (e.g. books, toys, a printed brain t-shirt, and a 3D-printed model of their brain). </w:t>
      </w:r>
    </w:p>
    <w:p w14:paraId="76E92F0D" w14:textId="77777777" w:rsidR="00F46E02" w:rsidRDefault="00F46E02" w:rsidP="00F46E02">
      <w:pPr>
        <w:spacing w:after="0" w:line="480" w:lineRule="auto"/>
        <w:rPr>
          <w:b/>
          <w:bCs/>
        </w:rPr>
      </w:pPr>
      <w:r w:rsidRPr="00C92449">
        <w:rPr>
          <w:b/>
          <w:bCs/>
        </w:rPr>
        <w:t>Procedures</w:t>
      </w:r>
    </w:p>
    <w:p w14:paraId="6ABEF849" w14:textId="77777777" w:rsidR="00F46E02" w:rsidRPr="00F333C7" w:rsidRDefault="00F46E02" w:rsidP="00F46E02">
      <w:pPr>
        <w:spacing w:after="0" w:line="480" w:lineRule="auto"/>
        <w:ind w:firstLine="720"/>
        <w:rPr>
          <w:b/>
          <w:bCs/>
        </w:rPr>
      </w:pPr>
      <w:r w:rsidRPr="00F333C7">
        <w:t>Data collection involved a set of three visits – each visit approximately one week apart. The first two visits took place in the home during which memory and sleep physiology data were obtained. The third took place at the Maryland Neuroimaging Center (MNC) and consisted of structural and functional MRI scans. The focus of the present report is on structural MRI data collected at the third visit</w:t>
      </w:r>
      <w:r>
        <w:t>.</w:t>
      </w:r>
    </w:p>
    <w:p w14:paraId="3B47FE62" w14:textId="77777777" w:rsidR="00F46E02" w:rsidRPr="004968F9" w:rsidRDefault="00F46E02" w:rsidP="00F46E02">
      <w:pPr>
        <w:spacing w:after="0" w:line="480" w:lineRule="auto"/>
        <w:rPr>
          <w:b/>
          <w:bCs/>
          <w:i/>
          <w:iCs/>
        </w:rPr>
      </w:pPr>
      <w:r w:rsidRPr="0041552A">
        <w:rPr>
          <w:b/>
          <w:bCs/>
          <w:i/>
          <w:iCs/>
        </w:rPr>
        <w:t>Questionnaires</w:t>
      </w:r>
    </w:p>
    <w:p w14:paraId="53F6C4BA" w14:textId="77777777" w:rsidR="00F46E02" w:rsidRDefault="00F46E02" w:rsidP="00F46E02">
      <w:pPr>
        <w:spacing w:after="0" w:line="480" w:lineRule="auto"/>
        <w:ind w:firstLine="720"/>
      </w:pPr>
      <w:r w:rsidRPr="00AE6AE9">
        <w:t>Questionnaires were provided to the parents to help determine the child’s nap status. Four different questionnaires were acquired: a lab-based nap transition questionnaire, a daily sleep diary, the Child Sleep Habits Questionnaire (Owens et al., 2000), and a parent email or phone interview.</w:t>
      </w:r>
      <w:r>
        <w:t xml:space="preserve"> Note the collection of questionnaire data occurred at multiple points across the Wave, which spanned three or more weeks. The Nap Transition Questionnaire asked, “How many days a week does your child nap?” Parents were allowed to answer with any numeric value. The sleep diaries were provided to the parent at the first visit of each Wave. Parents were asked to record their child’s sleep habits over a two-week period (both overnight sleeping and naps). Nap status was calculated by averaging the total number of days spent napping per week. The Child Sleep Habits Questionnaire asked, “</w:t>
      </w:r>
      <w:r w:rsidRPr="00960545">
        <w:t>How often does your child nap?</w:t>
      </w:r>
      <w:r>
        <w:t xml:space="preserve">” given the following options – </w:t>
      </w:r>
      <w:r w:rsidRPr="008B7547">
        <w:rPr>
          <w:i/>
          <w:iCs/>
        </w:rPr>
        <w:t>usually (5+ days/week), sometimes (3-4 days/week)</w:t>
      </w:r>
      <w:r w:rsidRPr="00960545">
        <w:t xml:space="preserve">, or </w:t>
      </w:r>
      <w:r w:rsidRPr="008B7547">
        <w:rPr>
          <w:i/>
          <w:iCs/>
        </w:rPr>
        <w:t>never (less than 2 days/week).</w:t>
      </w:r>
      <w:r>
        <w:t xml:space="preserve"> The initial parent interview took place when the participant was first scheduled for the study. If the participant did not have a sleep diary or questionnaire data, their nap status was </w:t>
      </w:r>
      <w:r>
        <w:lastRenderedPageBreak/>
        <w:t>determined by the parent’s answer to the phone interview at the start of wave 2. The question asked was “Does your child nap?”</w:t>
      </w:r>
    </w:p>
    <w:p w14:paraId="3CE5E637" w14:textId="77777777" w:rsidR="00F46E02" w:rsidRDefault="00F46E02" w:rsidP="00F46E02">
      <w:pPr>
        <w:spacing w:after="0" w:line="480" w:lineRule="auto"/>
        <w:ind w:firstLine="720"/>
      </w:pPr>
      <w:r w:rsidRPr="00963CAA">
        <w:t>Questionnaires were used in a hierarchal order: If a participant did not complete the nap transition questionnaire, nap status was determined by the sleep diary. If they did not have the sleep diary, it was determined by the Child Sleep Habits Questionnaire, and so on. Participants were then categorized into two groups based on nap status; nappers (children napping 5 or more days per week) and non-nappers (children napping 4 or less days per week) (</w:t>
      </w:r>
      <w:proofErr w:type="spellStart"/>
      <w:r w:rsidRPr="00963CAA">
        <w:t>Kurdziel</w:t>
      </w:r>
      <w:proofErr w:type="spellEnd"/>
      <w:r w:rsidRPr="00963CAA">
        <w:t xml:space="preserve"> et al., 2013).</w:t>
      </w:r>
    </w:p>
    <w:p w14:paraId="5ABDB33B" w14:textId="77777777" w:rsidR="00F46E02" w:rsidRPr="0041552A" w:rsidRDefault="00F46E02" w:rsidP="00F46E02">
      <w:pPr>
        <w:spacing w:after="0" w:line="480" w:lineRule="auto"/>
        <w:rPr>
          <w:b/>
          <w:bCs/>
          <w:i/>
          <w:iCs/>
        </w:rPr>
      </w:pPr>
      <w:r w:rsidRPr="0041552A">
        <w:rPr>
          <w:b/>
          <w:bCs/>
          <w:i/>
          <w:iCs/>
        </w:rPr>
        <w:t>MRI</w:t>
      </w:r>
    </w:p>
    <w:p w14:paraId="3A91C3D0" w14:textId="77777777" w:rsidR="00F46E02" w:rsidRDefault="00F46E02" w:rsidP="00F46E02">
      <w:pPr>
        <w:spacing w:after="0" w:line="480" w:lineRule="auto"/>
        <w:ind w:firstLine="720"/>
      </w:pPr>
      <w:r w:rsidRPr="008B6708">
        <w:t xml:space="preserve">During one of the home visits prior to coming to the MNC, participants were introduced to lab MRI procedures. This allowed children to feel comfortable before entering the MRI facility. Specifically, participants listened to MRI sounds while lying in a toy tunnel to help simulate the MRI machine and data collection. At the MNC, children participated in a mock scan before scanning. The purpose of this was to offer a sense of familiarity for the child and to allow experimenters to provide feedback on movement. Participants were then scanned in a Siemens 3.0-T scanner (MAGNETOM Trio Tim System, Siemens Medical Solutions, Erlangen, Germany) using a 32-channel coil. A high resolution structural T1-weighted image was obtained via a magnetization-prepared rapid gradient-echo sequence with 176 contiguous sagittal slices (.9 mm </w:t>
      </w:r>
      <w:proofErr w:type="spellStart"/>
      <w:r w:rsidRPr="008B6708">
        <w:t>isotripc</w:t>
      </w:r>
      <w:proofErr w:type="spellEnd"/>
      <w:r w:rsidRPr="008B6708">
        <w:t xml:space="preserve">; 1900 </w:t>
      </w:r>
      <w:proofErr w:type="spellStart"/>
      <w:r w:rsidRPr="008B6708">
        <w:t>ms</w:t>
      </w:r>
      <w:proofErr w:type="spellEnd"/>
      <w:r w:rsidRPr="008B6708">
        <w:t xml:space="preserve"> TR; 2.32ms TE; 900ms inversion time; 9° flip angle; pixel matrix</w:t>
      </w:r>
      <w:r>
        <w:t xml:space="preserve"> </w:t>
      </w:r>
      <w:r w:rsidRPr="008B6708">
        <w:t>= 256 x 256). While in the scanner, the participants had padding around their head to try and minimize movement and were able to view a movie of their choice. Children were accompanied in the scanner room during the scan by an undergraduate research assistant to watch and provide movement feedback.</w:t>
      </w:r>
    </w:p>
    <w:p w14:paraId="16524CAB" w14:textId="1D73F93C" w:rsidR="00404E60" w:rsidRDefault="00F46E02" w:rsidP="001477B2">
      <w:pPr>
        <w:spacing w:after="0" w:line="480" w:lineRule="auto"/>
        <w:ind w:firstLine="720"/>
      </w:pPr>
      <w:r>
        <w:t xml:space="preserve">In order to process the T1 structural scans, the images were segmented with a program called </w:t>
      </w:r>
      <w:proofErr w:type="spellStart"/>
      <w:r>
        <w:t>FreeSurfer</w:t>
      </w:r>
      <w:proofErr w:type="spellEnd"/>
      <w:r>
        <w:t xml:space="preserve"> Version 6.0.0., which automatically completes volumetric segmentation </w:t>
      </w:r>
      <w:r>
        <w:fldChar w:fldCharType="begin" w:fldLock="1"/>
      </w:r>
      <w:r>
        <w:instrText>ADDIN CSL_CITATION {"citationItems":[{"id":"ITEM-1","itemData":{"DOI":"10.1016/S0896-6273(02)00569-X","ISSN":"08966273","PMID":"11832223","abstract":"We present a technique for automatically assigning a neuroanatomical label to each voxel in an MRI volume based on probabilistic information automatically estimated from a manually labeled training set. In contrast to existing segmentation procedures that only label a small number of tissue classes, the current method assigns one of 37 labels to each voxel, including left and right caudate, putamen, pallidum, thalamus, lateral ventricles, hippocampus, and amygdala. The classification technique employs a registration procedure that is robust to anatomical variability, including the ventricular enlargement typically associated with neurological diseases and aging. The technique is shown to be comparable in accuracy to manual labeling, and of sufficient sensitivity to robustly detect changes in the volume of noncortical structures that presage the onset of probable Alzheimer's disease.","author":[{"dropping-particle":"","family":"Fischl","given":"Bruce","non-dropping-particle":"","parse-names":false,"suffix":""},{"dropping-particle":"","family":"Salat","given":"David H.","non-dropping-particle":"","parse-names":false,"suffix":""},{"dropping-particle":"","family":"Busa","given":"Evelina","non-dropping-particle":"","parse-names":false,"suffix":""},{"dropping-particle":"","family":"Albert","given":"Marilyn","non-dropping-particle":"","parse-names":false,"suffix":""},{"dropping-particle":"","family":"Dieterich","given":"Megan","non-dropping-particle":"","parse-names":false,"suffix":""},{"dropping-particle":"","family":"Haselgrove","given":"Christian","non-dropping-particle":"","parse-names":false,"suffix":""},{"dropping-particle":"","family":"Kouwe","given":"Andre","non-dropping-particle":"Van Der","parse-names":false,"suffix":""},{"dropping-particle":"","family":"Killiany","given":"Ron","non-dropping-particle":"","parse-names":false,"suffix":""},{"dropping-particle":"","family":"Kennedy","given":"David","non-dropping-particle":"","parse-names":false,"suffix":""},{"dropping-particle":"","family":"Klaveness","given":"Shuna","non-dropping-particle":"","parse-names":false,"suffix":""},{"dropping-particle":"","family":"Montillo","given":"Albert","non-dropping-particle":"","parse-names":false,"suffix":""},{"dropping-particle":"","family":"Makris","given":"Nikos","non-dropping-particle":"","parse-names":false,"suffix":""},{"dropping-particle":"","family":"Rosen","given":"Bruce","non-dropping-particle":"","parse-names":false,"suffix":""},{"dropping-particle":"","family":"Dale","given":"Anders M.","non-dropping-particle":"","parse-names":false,"suffix":""}],"container-title":"Neuron","id":"ITEM-1","issued":{"date-parts":[["2002"]]},"title":"Whole brain segmentation: Automated labeling of neuroanatomical structures in the human brain","type":"article-journal"},"uris":["http://www.mendeley.com/documents/?uuid=808f513d-db2f-4583-a27e-13186ab703ab"]}],"mendeley":{"formattedCitation":"(Fischl et al., 2002)","plainTextFormattedCitation":"(Fischl et al., 2002)","previouslyFormattedCitation":"(Fischl et al., 2002)"},"properties":{"noteIndex":0},"schema":"https://github.com/citation-style-language/schema/raw/master/csl-citation.json"}</w:instrText>
      </w:r>
      <w:r>
        <w:fldChar w:fldCharType="separate"/>
      </w:r>
      <w:r w:rsidRPr="0081490D">
        <w:rPr>
          <w:noProof/>
        </w:rPr>
        <w:t>(Fischl et al., 2002)</w:t>
      </w:r>
      <w:r>
        <w:fldChar w:fldCharType="end"/>
      </w:r>
      <w:r>
        <w:t xml:space="preserve">. </w:t>
      </w:r>
      <w:r w:rsidRPr="00353DA3">
        <w:t xml:space="preserve">The program has been shown to be fairly accurate in calculating subcortical volumes (Lehmann et al., </w:t>
      </w:r>
      <w:r w:rsidRPr="00353DA3">
        <w:lastRenderedPageBreak/>
        <w:t xml:space="preserve">2010) and can be used for young children (Ghosh et al., 2010). After the scans were run through </w:t>
      </w:r>
      <w:proofErr w:type="spellStart"/>
      <w:r w:rsidRPr="00353DA3">
        <w:t>FreeSurfer</w:t>
      </w:r>
      <w:proofErr w:type="spellEnd"/>
      <w:r w:rsidRPr="00353DA3">
        <w:t>, the hippocampal volumes were further segmented into the subregions of head, body, and tail</w:t>
      </w:r>
      <w:r>
        <w:t xml:space="preserve"> </w:t>
      </w:r>
      <w:r w:rsidRPr="00265642">
        <w:rPr>
          <w:rFonts w:cstheme="minorHAnsi"/>
        </w:rPr>
        <w:t xml:space="preserve">using standard anatomical landmarks </w:t>
      </w:r>
      <w:r w:rsidRPr="00265642">
        <w:rPr>
          <w:rFonts w:cstheme="minorHAnsi"/>
        </w:rPr>
        <w:fldChar w:fldCharType="begin" w:fldLock="1"/>
      </w:r>
      <w:r>
        <w:rPr>
          <w:rFonts w:cstheme="minorHAnsi"/>
        </w:rPr>
        <w:instrText>ADDIN CSL_CITATION {"citationItems":[{"id":"ITEM-1","itemData":{"DOI":"10.1212/wnl.42.9.1743","ISSN":"1526632X","PMID":"1513464","abstract":"Both the amygdala and the hippocampus are involved in the pathogenesis of a number of neurologic conditions, including temporal lobe epilepsy, postanoxic amnesia, and Alzheimer's disease. To enhance the investigation and management of patients with these disorders, we developed a protocol to measure the volumes of the amygdala and as much of the hippocampus as possible (approximately 90 to 95%) using high-resolution MRI. We present the anatomic basis of these two protocols and our results in normal control subjects. These volumetric studies of the amygdala may clarify the role of this structure in the pathogenesis of temporal lobe epilepsy. © 1992 American Academy of Neurology.","author":[{"dropping-particle":"","family":"Watson","given":"C.","non-dropping-particle":"","parse-names":false,"suffix":""},{"dropping-particle":"","family":"Andermann","given":"Frederick","non-dropping-particle":"","parse-names":false,"suffix":""},{"dropping-particle":"","family":"Gloor","given":"P.","non-dropping-particle":"","parse-names":false,"suffix":""},{"dropping-particle":"","family":"Jones-Gotman","given":"M.","non-dropping-particle":"","parse-names":false,"suffix":""},{"dropping-particle":"","family":"Peters","given":"T.","non-dropping-particle":"","parse-names":false,"suffix":""},{"dropping-particle":"","family":"Evans","given":"A.","non-dropping-particle":"","parse-names":false,"suffix":""},{"dropping-particle":"","family":"Olivier","given":"A.","non-dropping-particle":"","parse-names":false,"suffix":""},{"dropping-particle":"","family":"Melanson","given":"D.","non-dropping-particle":"","parse-names":false,"suffix":""},{"dropping-particle":"","family":"Leroux","given":"G.","non-dropping-particle":"","parse-names":false,"suffix":""}],"container-title":"Neurology","id":"ITEM-1","issued":{"date-parts":[["1992"]]},"title":"Anatomic basis of amygdaloid and hippocampal volume measurement by magnetic resonance imaging","type":"article-journal"},"uris":["http://www.mendeley.com/documents/?uuid=fc6a64f3-e0f4-4fe0-8abd-1408f98928b5"]}],"mendeley":{"formattedCitation":"(Watson et al., 1992)","manualFormatting":"(Watson et al., 1992","plainTextFormattedCitation":"(Watson et al., 1992)","previouslyFormattedCitation":"(Watson et al., 1992)"},"properties":{"noteIndex":0},"schema":"https://github.com/citation-style-language/schema/raw/master/csl-citation.json"}</w:instrText>
      </w:r>
      <w:r w:rsidRPr="00265642">
        <w:rPr>
          <w:rFonts w:cstheme="minorHAnsi"/>
        </w:rPr>
        <w:fldChar w:fldCharType="separate"/>
      </w:r>
      <w:r w:rsidRPr="00265642">
        <w:rPr>
          <w:rFonts w:cstheme="minorHAnsi"/>
          <w:noProof/>
        </w:rPr>
        <w:t>(Watson et al., 1992</w:t>
      </w:r>
      <w:r w:rsidRPr="00265642">
        <w:rPr>
          <w:rFonts w:cstheme="minorHAnsi"/>
        </w:rPr>
        <w:fldChar w:fldCharType="end"/>
      </w:r>
      <w:r w:rsidRPr="00265642">
        <w:rPr>
          <w:rFonts w:cstheme="minorHAnsi"/>
        </w:rPr>
        <w:t>;</w:t>
      </w:r>
      <w:r w:rsidRPr="00265642">
        <w:rPr>
          <w:rFonts w:cstheme="minorHAnsi"/>
        </w:rPr>
        <w:fldChar w:fldCharType="begin" w:fldLock="1"/>
      </w:r>
      <w:r>
        <w:rPr>
          <w:rFonts w:cstheme="minorHAnsi"/>
        </w:rPr>
        <w:instrText>ADDIN CSL_CITATION {"citationItems":[{"id":"ITEM-1","itemData":{"DOI":"10.1016/j.schres.2004.05.018","ISSN":"09209964","abstract":"While the evidence for hippocampal structural abnormalities in schizophrenia is now well accepted, whether there is differentially greater volume loss within specific subregions of the hippocampus remains a matter of some debate. Here we present volume estimates of anterior and posterior hippocampal volumes using a novel morphometric protocol. We studied 25 male patients with schizophrenia and 25 age-matched male control subjects. Hippocampal volumes were estimated using a three-dimensional morphometric protocol for the analysis of high-resolution structural magnetic resonance images (MRI). Anterior hippocampal volumes were differentiated from posterior hippocampal volumes by the presence of the uncus in coronal slices. While the patients with schizophrenia had significantly smaller overall hippocampal volumes relative to the control group, there was no evidence for a topographically specific pattern of volume loss along the anterior-posterior hippocampal axis. These results confirm the presence of overall hippocampal volume decreases in patients with schizophrenia, but do not confirm a topographically specific localization of this effect. It appears that the hippocampal volume deficit in schizophrenia is diffuse, a finding that has important consequences for understanding the underlying pathophysiologic mechanisms in schizophrenia. © 2004 Elsevier B.V. All rights reserved.","author":[{"dropping-particle":"","family":"Weiss","given":"Anthony P.","non-dropping-particle":"","parse-names":false,"suffix":""},{"dropping-particle":"","family":"Dewitt","given":"Iain","non-dropping-particle":"","parse-names":false,"suffix":""},{"dropping-particle":"","family":"Goff","given":"Donald","non-dropping-particle":"","parse-names":false,"suffix":""},{"dropping-particle":"","family":"Ditman","given":"Tali","non-dropping-particle":"","parse-names":false,"suffix":""},{"dropping-particle":"","family":"Heckers","given":"Stephan","non-dropping-particle":"","parse-names":false,"suffix":""}],"container-title":"Schizophrenia Research","id":"ITEM-1","issued":{"date-parts":[["2005"]]},"title":"Anterior and posterior hippocampal volumes in schizophrenia","type":"article-journal"},"uris":["http://www.mendeley.com/documents/?uuid=545fce8e-2050-4576-8ee3-2f028294e46a"]}],"mendeley":{"formattedCitation":"(Weiss et al., 2005)","manualFormatting":" Weiss et al., 2005)","plainTextFormattedCitation":"(Weiss et al., 2005)","previouslyFormattedCitation":"(Weiss et al., 2005)"},"properties":{"noteIndex":0},"schema":"https://github.com/citation-style-language/schema/raw/master/csl-citation.json"}</w:instrText>
      </w:r>
      <w:r w:rsidRPr="00265642">
        <w:rPr>
          <w:rFonts w:cstheme="minorHAnsi"/>
        </w:rPr>
        <w:fldChar w:fldCharType="separate"/>
      </w:r>
      <w:r w:rsidRPr="00265642">
        <w:rPr>
          <w:rFonts w:cstheme="minorHAnsi"/>
          <w:noProof/>
        </w:rPr>
        <w:t xml:space="preserve"> Weiss et al., 2005)</w:t>
      </w:r>
      <w:r w:rsidRPr="00265642">
        <w:rPr>
          <w:rFonts w:cstheme="minorHAnsi"/>
        </w:rPr>
        <w:fldChar w:fldCharType="end"/>
      </w:r>
      <w:r w:rsidRPr="00265642">
        <w:rPr>
          <w:rFonts w:cstheme="minorHAnsi"/>
        </w:rPr>
        <w:t>.</w:t>
      </w:r>
      <w:r>
        <w:rPr>
          <w:rFonts w:cstheme="minorHAnsi"/>
        </w:rPr>
        <w:t xml:space="preserve"> T</w:t>
      </w:r>
      <w:r w:rsidRPr="00353DA3">
        <w:t xml:space="preserve">his was completed manually by identifying two landmarks in order to delineate which slices were part of each subregion – the </w:t>
      </w:r>
      <w:proofErr w:type="spellStart"/>
      <w:r w:rsidRPr="00353DA3">
        <w:t>uncal</w:t>
      </w:r>
      <w:proofErr w:type="spellEnd"/>
      <w:r w:rsidRPr="00353DA3">
        <w:t xml:space="preserve"> apex identified the end of the head and start of the body, and the fornix identified the end of the body and the beginning of the tail (Figure 1).</w:t>
      </w:r>
    </w:p>
    <w:p w14:paraId="352311F0" w14:textId="3110B25E" w:rsidR="001477B2" w:rsidRDefault="00404E60" w:rsidP="00404E60">
      <w:r>
        <w:br w:type="page"/>
      </w:r>
    </w:p>
    <w:p w14:paraId="17DF9D00" w14:textId="77777777" w:rsidR="00F46E02" w:rsidRDefault="00F46E02" w:rsidP="00F46E02">
      <w:pPr>
        <w:spacing w:after="0" w:line="480" w:lineRule="auto"/>
        <w:rPr>
          <w:b/>
          <w:bCs/>
        </w:rPr>
      </w:pPr>
      <w:r>
        <w:rPr>
          <w:b/>
          <w:bCs/>
        </w:rPr>
        <w:lastRenderedPageBreak/>
        <w:t>Figure 1</w:t>
      </w:r>
    </w:p>
    <w:p w14:paraId="7896C431" w14:textId="77777777" w:rsidR="00F46E02" w:rsidRPr="00E063C4" w:rsidRDefault="00F46E02" w:rsidP="00F46E02">
      <w:pPr>
        <w:spacing w:after="0" w:line="480" w:lineRule="auto"/>
        <w:rPr>
          <w:i/>
          <w:iCs/>
        </w:rPr>
      </w:pPr>
      <w:r>
        <w:rPr>
          <w:i/>
          <w:iCs/>
        </w:rPr>
        <w:t>Defined Hippocampal Subregions</w:t>
      </w:r>
    </w:p>
    <w:p w14:paraId="4AF178AC" w14:textId="77777777" w:rsidR="00F46E02" w:rsidRDefault="00F46E02" w:rsidP="00F46E02">
      <w:pPr>
        <w:spacing w:after="0" w:line="480" w:lineRule="auto"/>
        <w:jc w:val="center"/>
      </w:pPr>
      <w:r>
        <w:rPr>
          <w:noProof/>
        </w:rPr>
        <w:drawing>
          <wp:inline distT="0" distB="0" distL="0" distR="0" wp14:anchorId="08C0525B" wp14:editId="55242807">
            <wp:extent cx="3689489" cy="5765800"/>
            <wp:effectExtent l="0" t="0" r="6350" b="6350"/>
            <wp:docPr id="1" name="Picture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92918" cy="5771159"/>
                    </a:xfrm>
                    <a:prstGeom prst="rect">
                      <a:avLst/>
                    </a:prstGeom>
                    <a:noFill/>
                    <a:ln>
                      <a:noFill/>
                    </a:ln>
                  </pic:spPr>
                </pic:pic>
              </a:graphicData>
            </a:graphic>
          </wp:inline>
        </w:drawing>
      </w:r>
    </w:p>
    <w:p w14:paraId="0DCAED98" w14:textId="77777777" w:rsidR="00404E60" w:rsidRDefault="00404E60" w:rsidP="00F46E02">
      <w:pPr>
        <w:spacing w:after="0" w:line="480" w:lineRule="auto"/>
        <w:rPr>
          <w:i/>
          <w:iCs/>
        </w:rPr>
      </w:pPr>
    </w:p>
    <w:p w14:paraId="58A35EBD" w14:textId="40FBAB0A" w:rsidR="00F46E02" w:rsidRPr="009A4892" w:rsidRDefault="00F46E02" w:rsidP="00F46E02">
      <w:pPr>
        <w:spacing w:after="0" w:line="480" w:lineRule="auto"/>
      </w:pPr>
      <w:r>
        <w:rPr>
          <w:i/>
          <w:iCs/>
        </w:rPr>
        <w:t>Note.</w:t>
      </w:r>
      <w:r>
        <w:t xml:space="preserve"> A) Head (pink), body (blue), and tail (green) subregions shown. B) Slice where </w:t>
      </w:r>
      <w:proofErr w:type="spellStart"/>
      <w:r>
        <w:t>uncal</w:t>
      </w:r>
      <w:proofErr w:type="spellEnd"/>
      <w:r>
        <w:t xml:space="preserve"> apex is visible (last slice of head), C) slice where </w:t>
      </w:r>
      <w:proofErr w:type="spellStart"/>
      <w:r>
        <w:t>uncal</w:t>
      </w:r>
      <w:proofErr w:type="spellEnd"/>
      <w:r>
        <w:t xml:space="preserve"> apex is no longer visible (first slice of tail). D) Slice where fornix has not separated from the hippocampus (last slice of body), E) slice where fornix has separated from the hippocampus (first slice of tail). This figure </w:t>
      </w:r>
      <w:r w:rsidR="00A0284B">
        <w:t xml:space="preserve">was </w:t>
      </w:r>
      <w:r>
        <w:t xml:space="preserve">reproduced from </w:t>
      </w:r>
      <w:r>
        <w:fldChar w:fldCharType="begin" w:fldLock="1"/>
      </w:r>
      <w:r>
        <w:instrText>ADDIN CSL_CITATION {"citationItems":[{"id":"ITEM-1","itemData":{"DOI":"10.1111/cdev.12445","ISSN":"14678624","abstract":"Episodic memory shows striking improvement during early childhood. However, neural contributions to these behavioral changes are not well understood. This study examined associations between episodic memory and volume of subregions (head, body, and tail) of the hippocampus-a structure known to support episodic memory in school-aged children and adults-during early childhood (n = 45). Results revealed significant positive relations between episodic memory and volume of the hippocampal head in both the left and right hemispheres for 6- but not 4-year-old children, suggesting brain-behavior relations vary across development. These findings add new information regarding neural mechanisms of change in memory development during early childhood and suggest that developmental differences in hippocampal subregions may contribute to age-related differences in episodic memory ability.","author":[{"dropping-particle":"","family":"Riggins","given":"Tracy","non-dropping-particle":"","parse-names":false,"suffix":""},{"dropping-particle":"","family":"Blankenship","given":"Sarah L.","non-dropping-particle":"","parse-names":false,"suffix":""},{"dropping-particle":"","family":"Mulligan","given":"Elizabeth","non-dropping-particle":"","parse-names":false,"suffix":""},{"dropping-particle":"","family":"Rice","given":"Katherine","non-dropping-particle":"","parse-names":false,"suffix":""},{"dropping-particle":"","family":"Redcay","given":"Elizabeth","non-dropping-particle":"","parse-names":false,"suffix":""}],"container-title":"Child Development","id":"ITEM-1","issued":{"date-parts":[["2015"]]},"title":"Developmental Differences in Relations Between Episodic Memory and Hippocampal Subregion Volume During Early Childhood","type":"article-journal"},"uris":["http://www.mendeley.com/documents/?uuid=3394ea87-8646-4c74-b5bc-cdec7127805f"]}],"mendeley":{"formattedCitation":"(Riggins et al., 2015)","plainTextFormattedCitation":"(Riggins et al., 2015)","previouslyFormattedCitation":"(Riggins et al., 2015)"},"properties":{"noteIndex":0},"schema":"https://github.com/citation-style-language/schema/raw/master/csl-citation.json"}</w:instrText>
      </w:r>
      <w:r>
        <w:fldChar w:fldCharType="separate"/>
      </w:r>
      <w:r w:rsidRPr="002A35BC">
        <w:rPr>
          <w:noProof/>
        </w:rPr>
        <w:t>(Riggins et al., 2015)</w:t>
      </w:r>
      <w:r>
        <w:fldChar w:fldCharType="end"/>
      </w:r>
      <w:r>
        <w:t>.</w:t>
      </w:r>
    </w:p>
    <w:p w14:paraId="0E765533" w14:textId="77777777" w:rsidR="00F46E02" w:rsidRDefault="00F46E02" w:rsidP="00F46E02">
      <w:pPr>
        <w:spacing w:after="0" w:line="480" w:lineRule="auto"/>
        <w:ind w:firstLine="720"/>
      </w:pPr>
      <w:r>
        <w:lastRenderedPageBreak/>
        <w:t xml:space="preserve">After landmarks were identified and subregions defined, the scans were refined using a Segmentation Adapter Tool, which improves </w:t>
      </w:r>
      <w:proofErr w:type="spellStart"/>
      <w:r>
        <w:t>FreeSurfer</w:t>
      </w:r>
      <w:proofErr w:type="spellEnd"/>
      <w:r>
        <w:t xml:space="preserve"> accuracy by using a machine learning algorithm to reduce errors in segmentation </w:t>
      </w:r>
      <w:r>
        <w:fldChar w:fldCharType="begin" w:fldLock="1"/>
      </w:r>
      <w:r>
        <w:instrText>ADDIN CSL_CITATION {"citationItems":[{"id":"ITEM-1","itemData":{"DOI":"10.1016/j.neuroimage.2008.12.033","ISSN":"10538119","abstract":"Large databases of high-resolution structural MR images are being assembled to quantitatively examine the relationships between brain anatomy, disease progression, treatment regimens, and genetic influences upon brain structure. Quantifying brain structures in such large databases cannot be practically accomplished by expert neuroanatomists using hand-tracing. Rather, this research will depend upon automated methods that reliably and accurately segment and quantify dozens of brain regions. At present, there is little guidance available to help clinical research groups in choosing such tools. Thus, our goal was to compare the performance of two popular and fully automated tools, FSL/FIRST and FreeSurfer, to expert hand tracing in the measurement of the hippocampus and amygdala. Volumes derived from each automated measurement were compared to hand tracing for percent volume overlap, percent volume difference, across-sample correlation, and 3-D group-level shape analysis. In addition, sample size estimates for conducting between-group studies were computed for a range of effect sizes. Compared to hand tracing, hippocampal measurements with FreeSurfer exhibited greater volume overlap, smaller volume difference, and higher correlation than FIRST, and sample size estimates with FreeSurfer were closer to hand tracing. Amygdala measurement with FreeSurfer was also more highly correlated to hand tracing than FIRST, but exhibited a greater volume difference than FIRST. Both techniques had comparable volume overlap and similar sample size estimates. Compared to hand tracing, a 3-D shape analysis of the hippocampus showed FreeSurfer was more accurate than FIRST, particularly in the head and tail. However, FIRST more accurately represented the amygdala shape than FreeSurfer, which inflated its anterior and posterior surfaces.","author":[{"dropping-particle":"","family":"Morey","given":"Rajendra A.","non-dropping-particle":"","parse-names":false,"suffix":""},{"dropping-particle":"","family":"Petty","given":"Christopher M.","non-dropping-particle":"","parse-names":false,"suffix":""},{"dropping-particle":"","family":"Xu","given":"Yuan","non-dropping-particle":"","parse-names":false,"suffix":""},{"dropping-particle":"","family":"Pannu Hayes","given":"Jasmeet","non-dropping-particle":"","parse-names":false,"suffix":""},{"dropping-particle":"","family":"Wagner","given":"H. Ryan","non-dropping-particle":"","parse-names":false,"suffix":""},{"dropping-particle":"V.","family":"Lewis","given":"Darrell","non-dropping-particle":"","parse-names":false,"suffix":""},{"dropping-particle":"","family":"LaBar","given":"Kevin S.","non-dropping-particle":"","parse-names":false,"suffix":""},{"dropping-particle":"","family":"Styner","given":"Martin","non-dropping-particle":"","parse-names":false,"suffix":""},{"dropping-particle":"","family":"McCarthy","given":"Gregory","non-dropping-particle":"","parse-names":false,"suffix":""}],"container-title":"NeuroImage","id":"ITEM-1","issued":{"date-parts":[["2009"]]},"title":"A comparison of automated segmentation and manual tracing for quantifying hippocampal and amygdala volumes","type":"article-journal"},"uris":["http://www.mendeley.com/documents/?uuid=5116790d-f61b-402e-b1a3-320cce457fdd"]}],"mendeley":{"formattedCitation":"(Morey et al., 2009)","manualFormatting":"(Morey et al., 2009","plainTextFormattedCitation":"(Morey et al., 2009)","previouslyFormattedCitation":"(Morey et al., 2009)"},"properties":{"noteIndex":0},"schema":"https://github.com/citation-style-language/schema/raw/master/csl-citation.json"}</w:instrText>
      </w:r>
      <w:r>
        <w:fldChar w:fldCharType="separate"/>
      </w:r>
      <w:r w:rsidRPr="00D70151">
        <w:rPr>
          <w:noProof/>
        </w:rPr>
        <w:t>(Morey et al., 2009</w:t>
      </w:r>
      <w:r>
        <w:fldChar w:fldCharType="end"/>
      </w:r>
      <w:r>
        <w:t xml:space="preserve">; </w:t>
      </w:r>
      <w:r>
        <w:fldChar w:fldCharType="begin" w:fldLock="1"/>
      </w:r>
      <w:r>
        <w:instrText>ADDIN CSL_CITATION {"citationItems":[{"id":"ITEM-1","itemData":{"ISBN":"1053-8119","abstract":"We propose a simple but generally applicable approach to improving the accuracy of automatic image segmentation algorithms relative to manual segmentations. The approach is based on the hypothesis that a large fraction of the errors produced by automatic segmentation are systematic, i.e., occur consistently from subject to subject, and serves as a wrapper method around a given host segmentation method. The wrapper method attempts to learn the intensity, spatial and contextual patterns associated with systematic segmentation errors produced by the host method on training data for which manual segmentations are available. The method then attempts to correct such errors in segmentations produced by the host method on new images. One practical use of the proposed wrapper method is to adapt existing segmentation tools, without explicit modification, to imaging data and segmentation protocols that are different from those on which the tools were trained and tuned. An open-source implementation of the proposed wrapper method is provided, and can be applied to a wide range of image segmentation problems. The wrapper method is evaluated with four host brain MRI segmentation methods: hippocampus segmentation using FreeSurfer (Fischl et al., 2002); hippocampus segmentation using multi-atlas label fusion (Artaechevarria et al., 2009); brain extraction using BET (Smith, 2002); and brain tissue segmentation using FAST (Zhang et al., 2001). The wrapper method generates 72%, 14%, 29% and 21% fewer erroneously segmented voxels than the respective host segmentation methods. In the hippocampus segmentation experiment with multi-atlas label fusion as the host method, the average Dice overlap between reference segmentations and segmentations produced by the wrapper method is 0.908 for normal controls and 0.893 for patients with mild cognitive impairment. Average Dice overlaps of 0.964, 0.905 and 0.951 are obtained for brain extraction, white matter segmentation and gray matter segmentation, respectively. © 2011 Elsevier Inc.","author":[{"dropping-particle":"","family":"H.","given":"Wang","non-dropping-particle":"","parse-names":false,"suffix":""},{"dropping-particle":"","family":"S.R.","given":"Das","non-dropping-particle":"","parse-names":false,"suffix":""},{"dropping-particle":"","family":"J.W.","given":"Suh","non-dropping-particle":"","parse-names":false,"suffix":""},{"dropping-particle":"","family":"M.","given":"Altinay","non-dropping-particle":"","parse-names":false,"suffix":""},{"dropping-particle":"","family":"J.","given":"Pluta","non-dropping-particle":"","parse-names":false,"suffix":""},{"dropping-particle":"","family":"C.","given":"Craige","non-dropping-particle":"","parse-names":false,"suffix":""},{"dropping-particle":"","family":"B.","given":"Avants","non-dropping-particle":"","parse-names":false,"suffix":""}],"container-title":"NeuroImage","id":"ITEM-1","issued":{"date-parts":[["2011"]]},"title":"A learning-based wrapper method to correct systematic errors in automatic image segmentation: Consistently improved performance in hippocampus, cortex and brain segmentation","type":"article"},"uris":["http://www.mendeley.com/documents/?uuid=2b7178c3-8109-4a25-9a7d-acac716061d0"]}],"mendeley":{"formattedCitation":"(H. et al., 2011)","manualFormatting":"Wang et al., 2011)","plainTextFormattedCitation":"(H. et al., 2011)","previouslyFormattedCitation":"(H. et al., 2011)"},"properties":{"noteIndex":0},"schema":"https://github.com/citation-style-language/schema/raw/master/csl-citation.json"}</w:instrText>
      </w:r>
      <w:r>
        <w:fldChar w:fldCharType="separate"/>
      </w:r>
      <w:r>
        <w:rPr>
          <w:noProof/>
        </w:rPr>
        <w:t>Wang</w:t>
      </w:r>
      <w:r w:rsidRPr="0081490D">
        <w:rPr>
          <w:noProof/>
        </w:rPr>
        <w:t xml:space="preserve"> et al., 2011)</w:t>
      </w:r>
      <w:r>
        <w:fldChar w:fldCharType="end"/>
      </w:r>
      <w:r>
        <w:t>.</w:t>
      </w:r>
    </w:p>
    <w:p w14:paraId="6CAF4584" w14:textId="77777777" w:rsidR="00F46E02" w:rsidRPr="006F0123" w:rsidRDefault="00F46E02" w:rsidP="00F46E02">
      <w:pPr>
        <w:tabs>
          <w:tab w:val="left" w:pos="3510"/>
        </w:tabs>
        <w:spacing w:after="0" w:line="480" w:lineRule="auto"/>
        <w:rPr>
          <w:b/>
          <w:bCs/>
        </w:rPr>
      </w:pPr>
      <w:r w:rsidRPr="00814F80">
        <w:rPr>
          <w:b/>
          <w:bCs/>
        </w:rPr>
        <w:t>Analy</w:t>
      </w:r>
      <w:r>
        <w:rPr>
          <w:b/>
          <w:bCs/>
        </w:rPr>
        <w:t>tic Approach</w:t>
      </w:r>
    </w:p>
    <w:p w14:paraId="1B0AB771" w14:textId="69D7D28A" w:rsidR="00F46E02" w:rsidRDefault="00F46E02" w:rsidP="00F46E02">
      <w:pPr>
        <w:spacing w:after="0" w:line="480" w:lineRule="auto"/>
        <w:ind w:firstLine="720"/>
      </w:pPr>
      <w:r>
        <w:t>First, possible confounding factors were examined, namely gender, age at the time of the MRI, and intracranial volume (ICV). T</w:t>
      </w:r>
      <w:r>
        <w:rPr>
          <w:rFonts w:cs="Helvetica Neue"/>
          <w:lang w:eastAsia="ja-JP"/>
        </w:rPr>
        <w:t xml:space="preserve">his was done in order to determine whether it was necessary to control for these external factors in the analyses of interest. </w:t>
      </w:r>
      <w:r>
        <w:t>Gender was compared based on nap status with a chi square analysis. Age and ICV were each compared with an ANOVA. These factors were controlled for in subsequent analyses only if they showed significant differences between groups.</w:t>
      </w:r>
    </w:p>
    <w:p w14:paraId="030690F4" w14:textId="03966BB3" w:rsidR="00465372" w:rsidRDefault="00F46E02" w:rsidP="00465372">
      <w:pPr>
        <w:spacing w:after="0" w:line="480" w:lineRule="auto"/>
        <w:rPr>
          <w:rFonts w:cs="Helvetica Neue"/>
          <w:b/>
          <w:bCs/>
          <w:lang w:eastAsia="ja-JP"/>
        </w:rPr>
      </w:pPr>
      <w:r>
        <w:tab/>
        <w:t>Second, hippocampal volumes were compared between nappers and non-nappers using ANOVAs. We did this first with total bilateral hippocampus, then bilaterally with each subregion (head, body, tail). Finally, we tested lateralized differences in those subregions only if findings approached significance (</w:t>
      </w:r>
      <w:r w:rsidRPr="00350FE6">
        <w:rPr>
          <w:i/>
          <w:iCs/>
        </w:rPr>
        <w:t>p</w:t>
      </w:r>
      <w:r>
        <w:t xml:space="preserve"> &lt; .10). This sequence of analyses was used to limit the number of total analyses and thus lower type 1 error.</w:t>
      </w:r>
    </w:p>
    <w:p w14:paraId="067FE6D6" w14:textId="003338CF" w:rsidR="00597476" w:rsidRDefault="00597476" w:rsidP="000C556A">
      <w:pPr>
        <w:spacing w:after="0" w:line="480" w:lineRule="auto"/>
        <w:jc w:val="center"/>
        <w:rPr>
          <w:rFonts w:cs="Helvetica Neue"/>
          <w:b/>
          <w:bCs/>
          <w:lang w:eastAsia="ja-JP"/>
        </w:rPr>
      </w:pPr>
      <w:r w:rsidRPr="00201A69">
        <w:rPr>
          <w:rFonts w:cs="Helvetica Neue"/>
          <w:b/>
          <w:bCs/>
          <w:lang w:eastAsia="ja-JP"/>
        </w:rPr>
        <w:t>Results</w:t>
      </w:r>
    </w:p>
    <w:p w14:paraId="79E3BBBF" w14:textId="77777777" w:rsidR="00260A60" w:rsidRDefault="00260A60" w:rsidP="00260A60">
      <w:pPr>
        <w:spacing w:after="0" w:line="480" w:lineRule="auto"/>
        <w:rPr>
          <w:rFonts w:cs="Helvetica Neue"/>
          <w:lang w:eastAsia="ja-JP"/>
        </w:rPr>
      </w:pPr>
      <w:r>
        <w:rPr>
          <w:rFonts w:cs="Helvetica Neue"/>
          <w:b/>
          <w:bCs/>
          <w:lang w:eastAsia="ja-JP"/>
        </w:rPr>
        <w:t>Table 1</w:t>
      </w:r>
    </w:p>
    <w:p w14:paraId="30A68CCB" w14:textId="77777777" w:rsidR="00260A60" w:rsidRDefault="00260A60" w:rsidP="00260A60">
      <w:pPr>
        <w:spacing w:after="0" w:line="480" w:lineRule="auto"/>
        <w:rPr>
          <w:rFonts w:cs="Helvetica Neue"/>
          <w:i/>
          <w:iCs/>
          <w:lang w:eastAsia="ja-JP"/>
        </w:rPr>
      </w:pPr>
      <w:r>
        <w:rPr>
          <w:rFonts w:cs="Helvetica Neue"/>
          <w:i/>
          <w:iCs/>
          <w:lang w:eastAsia="ja-JP"/>
        </w:rPr>
        <w:t>Descriptive Statistics for Possible Confounds</w:t>
      </w:r>
    </w:p>
    <w:tbl>
      <w:tblPr>
        <w:tblW w:w="6840" w:type="dxa"/>
        <w:jc w:val="center"/>
        <w:tblBorders>
          <w:top w:val="single" w:sz="4" w:space="0" w:color="auto"/>
          <w:bottom w:val="single" w:sz="4" w:space="0" w:color="auto"/>
        </w:tblBorders>
        <w:tblLook w:val="04A0" w:firstRow="1" w:lastRow="0" w:firstColumn="1" w:lastColumn="0" w:noHBand="0" w:noVBand="1"/>
      </w:tblPr>
      <w:tblGrid>
        <w:gridCol w:w="2696"/>
        <w:gridCol w:w="2072"/>
        <w:gridCol w:w="2072"/>
      </w:tblGrid>
      <w:tr w:rsidR="00260A60" w:rsidRPr="002C0765" w14:paraId="7EF1EEEC" w14:textId="77777777" w:rsidTr="0061773C">
        <w:trPr>
          <w:trHeight w:val="640"/>
          <w:jc w:val="center"/>
        </w:trPr>
        <w:tc>
          <w:tcPr>
            <w:tcW w:w="6840" w:type="dxa"/>
            <w:gridSpan w:val="3"/>
            <w:tcBorders>
              <w:top w:val="single" w:sz="4" w:space="0" w:color="auto"/>
              <w:bottom w:val="single" w:sz="4" w:space="0" w:color="auto"/>
            </w:tcBorders>
            <w:shd w:val="clear" w:color="auto" w:fill="auto"/>
            <w:vAlign w:val="bottom"/>
            <w:hideMark/>
          </w:tcPr>
          <w:p w14:paraId="00740BB6" w14:textId="77777777" w:rsidR="00260A60" w:rsidRPr="002C0765" w:rsidRDefault="00260A60" w:rsidP="0061773C">
            <w:pPr>
              <w:spacing w:after="0" w:line="360" w:lineRule="auto"/>
              <w:ind w:left="-200" w:right="160"/>
              <w:jc w:val="center"/>
              <w:rPr>
                <w:rFonts w:ascii="Calibri" w:eastAsia="Times New Roman" w:hAnsi="Calibri" w:cs="Calibri"/>
                <w:color w:val="000000"/>
              </w:rPr>
            </w:pPr>
            <w:r w:rsidRPr="002C0765">
              <w:rPr>
                <w:rFonts w:ascii="Calibri" w:eastAsia="Times New Roman" w:hAnsi="Calibri" w:cs="Calibri"/>
                <w:color w:val="000000"/>
              </w:rPr>
              <w:t>Descriptive Statistics for Sex, Age, and ICV</w:t>
            </w:r>
          </w:p>
        </w:tc>
      </w:tr>
      <w:tr w:rsidR="00260A60" w:rsidRPr="002C0765" w14:paraId="2B7B013F" w14:textId="77777777" w:rsidTr="0061773C">
        <w:trPr>
          <w:trHeight w:val="580"/>
          <w:jc w:val="center"/>
        </w:trPr>
        <w:tc>
          <w:tcPr>
            <w:tcW w:w="2696" w:type="dxa"/>
            <w:tcBorders>
              <w:top w:val="single" w:sz="4" w:space="0" w:color="auto"/>
              <w:bottom w:val="single" w:sz="4" w:space="0" w:color="auto"/>
            </w:tcBorders>
            <w:shd w:val="clear" w:color="auto" w:fill="auto"/>
            <w:vAlign w:val="bottom"/>
            <w:hideMark/>
          </w:tcPr>
          <w:p w14:paraId="2267E194" w14:textId="77777777" w:rsidR="00260A60" w:rsidRPr="002C0765" w:rsidRDefault="00260A60" w:rsidP="0061773C">
            <w:pPr>
              <w:spacing w:after="0" w:line="360" w:lineRule="auto"/>
              <w:ind w:left="-200" w:right="160"/>
              <w:jc w:val="center"/>
              <w:rPr>
                <w:rFonts w:ascii="Calibri" w:eastAsia="Times New Roman" w:hAnsi="Calibri" w:cs="Calibri"/>
                <w:color w:val="000000"/>
              </w:rPr>
            </w:pPr>
            <w:r w:rsidRPr="002C0765">
              <w:rPr>
                <w:rFonts w:ascii="Calibri" w:eastAsia="Times New Roman" w:hAnsi="Calibri" w:cs="Calibri"/>
                <w:color w:val="000000"/>
              </w:rPr>
              <w:t>Statistic</w:t>
            </w:r>
          </w:p>
        </w:tc>
        <w:tc>
          <w:tcPr>
            <w:tcW w:w="2072" w:type="dxa"/>
            <w:tcBorders>
              <w:top w:val="single" w:sz="4" w:space="0" w:color="auto"/>
              <w:bottom w:val="single" w:sz="4" w:space="0" w:color="auto"/>
            </w:tcBorders>
            <w:shd w:val="clear" w:color="auto" w:fill="auto"/>
            <w:noWrap/>
            <w:vAlign w:val="bottom"/>
            <w:hideMark/>
          </w:tcPr>
          <w:p w14:paraId="0645A3F1" w14:textId="77777777" w:rsidR="00260A60" w:rsidRPr="002C0765" w:rsidRDefault="00260A60" w:rsidP="0061773C">
            <w:pPr>
              <w:spacing w:after="0" w:line="360" w:lineRule="auto"/>
              <w:ind w:left="-200" w:right="160"/>
              <w:jc w:val="center"/>
              <w:rPr>
                <w:rFonts w:ascii="Calibri" w:eastAsia="Times New Roman" w:hAnsi="Calibri" w:cs="Calibri"/>
                <w:color w:val="000000"/>
              </w:rPr>
            </w:pPr>
            <w:r w:rsidRPr="002C0765">
              <w:rPr>
                <w:rFonts w:ascii="Calibri" w:eastAsia="Times New Roman" w:hAnsi="Calibri" w:cs="Calibri"/>
                <w:color w:val="000000"/>
              </w:rPr>
              <w:t>Napper</w:t>
            </w:r>
          </w:p>
        </w:tc>
        <w:tc>
          <w:tcPr>
            <w:tcW w:w="2072" w:type="dxa"/>
            <w:tcBorders>
              <w:top w:val="single" w:sz="4" w:space="0" w:color="auto"/>
              <w:bottom w:val="single" w:sz="4" w:space="0" w:color="auto"/>
            </w:tcBorders>
            <w:shd w:val="clear" w:color="auto" w:fill="auto"/>
            <w:noWrap/>
            <w:vAlign w:val="bottom"/>
            <w:hideMark/>
          </w:tcPr>
          <w:p w14:paraId="38AEF85E" w14:textId="77777777" w:rsidR="00260A60" w:rsidRPr="002C0765" w:rsidRDefault="00260A60" w:rsidP="0061773C">
            <w:pPr>
              <w:spacing w:after="0" w:line="360" w:lineRule="auto"/>
              <w:ind w:left="-200" w:right="160"/>
              <w:jc w:val="center"/>
              <w:rPr>
                <w:rFonts w:ascii="Calibri" w:eastAsia="Times New Roman" w:hAnsi="Calibri" w:cs="Calibri"/>
                <w:color w:val="000000"/>
              </w:rPr>
            </w:pPr>
            <w:r w:rsidRPr="002C0765">
              <w:rPr>
                <w:rFonts w:ascii="Calibri" w:eastAsia="Times New Roman" w:hAnsi="Calibri" w:cs="Calibri"/>
                <w:color w:val="000000"/>
              </w:rPr>
              <w:t>Non-napper</w:t>
            </w:r>
          </w:p>
        </w:tc>
      </w:tr>
      <w:tr w:rsidR="00260A60" w:rsidRPr="002C0765" w14:paraId="0190E831" w14:textId="77777777" w:rsidTr="0061773C">
        <w:trPr>
          <w:trHeight w:val="370"/>
          <w:jc w:val="center"/>
        </w:trPr>
        <w:tc>
          <w:tcPr>
            <w:tcW w:w="2696" w:type="dxa"/>
            <w:tcBorders>
              <w:top w:val="single" w:sz="4" w:space="0" w:color="auto"/>
            </w:tcBorders>
            <w:shd w:val="clear" w:color="auto" w:fill="auto"/>
            <w:vAlign w:val="bottom"/>
            <w:hideMark/>
          </w:tcPr>
          <w:p w14:paraId="28EB9239" w14:textId="77777777" w:rsidR="00260A60" w:rsidRPr="002C0765" w:rsidRDefault="00260A60" w:rsidP="0061773C">
            <w:pPr>
              <w:spacing w:after="0" w:line="360" w:lineRule="auto"/>
              <w:ind w:left="-200" w:right="160"/>
              <w:jc w:val="center"/>
              <w:rPr>
                <w:rFonts w:ascii="Calibri" w:eastAsia="Times New Roman" w:hAnsi="Calibri" w:cs="Calibri"/>
                <w:color w:val="000000"/>
              </w:rPr>
            </w:pPr>
            <w:r w:rsidRPr="002C0765">
              <w:rPr>
                <w:rFonts w:ascii="Calibri" w:eastAsia="Times New Roman" w:hAnsi="Calibri" w:cs="Calibri"/>
                <w:color w:val="000000"/>
              </w:rPr>
              <w:t>Age (Mean, SD)</w:t>
            </w:r>
          </w:p>
        </w:tc>
        <w:tc>
          <w:tcPr>
            <w:tcW w:w="2072" w:type="dxa"/>
            <w:tcBorders>
              <w:top w:val="single" w:sz="4" w:space="0" w:color="auto"/>
            </w:tcBorders>
            <w:shd w:val="clear" w:color="auto" w:fill="auto"/>
            <w:noWrap/>
            <w:vAlign w:val="bottom"/>
            <w:hideMark/>
          </w:tcPr>
          <w:p w14:paraId="7055615B" w14:textId="77777777" w:rsidR="00260A60" w:rsidRPr="002C0765" w:rsidRDefault="00260A60" w:rsidP="0061773C">
            <w:pPr>
              <w:spacing w:after="0" w:line="360" w:lineRule="auto"/>
              <w:ind w:left="-200" w:right="160"/>
              <w:jc w:val="center"/>
              <w:rPr>
                <w:rFonts w:ascii="Calibri" w:eastAsia="Times New Roman" w:hAnsi="Calibri" w:cs="Calibri"/>
                <w:color w:val="000000"/>
              </w:rPr>
            </w:pPr>
            <w:r w:rsidRPr="002C0765">
              <w:rPr>
                <w:rFonts w:ascii="Calibri" w:eastAsia="Times New Roman" w:hAnsi="Calibri" w:cs="Calibri"/>
                <w:color w:val="000000"/>
              </w:rPr>
              <w:t>4.45, 0.46</w:t>
            </w:r>
          </w:p>
        </w:tc>
        <w:tc>
          <w:tcPr>
            <w:tcW w:w="2072" w:type="dxa"/>
            <w:tcBorders>
              <w:top w:val="single" w:sz="4" w:space="0" w:color="auto"/>
            </w:tcBorders>
            <w:shd w:val="clear" w:color="auto" w:fill="auto"/>
            <w:noWrap/>
            <w:vAlign w:val="bottom"/>
            <w:hideMark/>
          </w:tcPr>
          <w:p w14:paraId="1684D94C" w14:textId="77777777" w:rsidR="00260A60" w:rsidRPr="002C0765" w:rsidRDefault="00260A60" w:rsidP="0061773C">
            <w:pPr>
              <w:spacing w:after="0" w:line="360" w:lineRule="auto"/>
              <w:ind w:left="-200" w:right="160"/>
              <w:jc w:val="center"/>
              <w:rPr>
                <w:rFonts w:ascii="Calibri" w:eastAsia="Times New Roman" w:hAnsi="Calibri" w:cs="Calibri"/>
                <w:color w:val="000000"/>
              </w:rPr>
            </w:pPr>
            <w:r w:rsidRPr="002C0765">
              <w:rPr>
                <w:rFonts w:ascii="Calibri" w:eastAsia="Times New Roman" w:hAnsi="Calibri" w:cs="Calibri"/>
                <w:color w:val="000000"/>
              </w:rPr>
              <w:t>4.47, 0.55</w:t>
            </w:r>
          </w:p>
        </w:tc>
      </w:tr>
      <w:tr w:rsidR="00260A60" w:rsidRPr="002C0765" w14:paraId="7D6F6394" w14:textId="77777777" w:rsidTr="0061773C">
        <w:trPr>
          <w:trHeight w:val="290"/>
          <w:jc w:val="center"/>
        </w:trPr>
        <w:tc>
          <w:tcPr>
            <w:tcW w:w="2696" w:type="dxa"/>
            <w:shd w:val="clear" w:color="auto" w:fill="auto"/>
            <w:vAlign w:val="bottom"/>
            <w:hideMark/>
          </w:tcPr>
          <w:p w14:paraId="2F286064" w14:textId="77777777" w:rsidR="00260A60" w:rsidRPr="002C0765" w:rsidRDefault="00260A60" w:rsidP="0061773C">
            <w:pPr>
              <w:spacing w:after="0" w:line="360" w:lineRule="auto"/>
              <w:ind w:left="-200" w:right="160"/>
              <w:jc w:val="center"/>
              <w:rPr>
                <w:rFonts w:ascii="Calibri" w:eastAsia="Times New Roman" w:hAnsi="Calibri" w:cs="Calibri"/>
                <w:color w:val="000000"/>
              </w:rPr>
            </w:pPr>
            <w:r w:rsidRPr="002C0765">
              <w:rPr>
                <w:rFonts w:ascii="Calibri" w:eastAsia="Times New Roman" w:hAnsi="Calibri" w:cs="Calibri"/>
                <w:color w:val="000000"/>
              </w:rPr>
              <w:t>Sex (</w:t>
            </w:r>
            <w:proofErr w:type="spellStart"/>
            <w:r w:rsidRPr="002C0765">
              <w:rPr>
                <w:rFonts w:ascii="Calibri" w:eastAsia="Times New Roman" w:hAnsi="Calibri" w:cs="Calibri"/>
                <w:color w:val="000000"/>
              </w:rPr>
              <w:t>male:female</w:t>
            </w:r>
            <w:proofErr w:type="spellEnd"/>
            <w:r w:rsidRPr="002C0765">
              <w:rPr>
                <w:rFonts w:ascii="Calibri" w:eastAsia="Times New Roman" w:hAnsi="Calibri" w:cs="Calibri"/>
                <w:color w:val="000000"/>
              </w:rPr>
              <w:t>)</w:t>
            </w:r>
          </w:p>
        </w:tc>
        <w:tc>
          <w:tcPr>
            <w:tcW w:w="2072" w:type="dxa"/>
            <w:shd w:val="clear" w:color="auto" w:fill="auto"/>
            <w:noWrap/>
            <w:vAlign w:val="bottom"/>
            <w:hideMark/>
          </w:tcPr>
          <w:p w14:paraId="3B06A5D6" w14:textId="77777777" w:rsidR="00260A60" w:rsidRPr="002C0765" w:rsidRDefault="00260A60" w:rsidP="0061773C">
            <w:pPr>
              <w:spacing w:after="0" w:line="360" w:lineRule="auto"/>
              <w:ind w:left="-200" w:right="160"/>
              <w:jc w:val="center"/>
              <w:rPr>
                <w:rFonts w:ascii="Calibri" w:eastAsia="Times New Roman" w:hAnsi="Calibri" w:cs="Calibri"/>
                <w:color w:val="000000"/>
              </w:rPr>
            </w:pPr>
            <w:r w:rsidRPr="002C0765">
              <w:rPr>
                <w:rFonts w:ascii="Calibri" w:eastAsia="Times New Roman" w:hAnsi="Calibri" w:cs="Calibri"/>
                <w:color w:val="000000"/>
              </w:rPr>
              <w:t>4:4</w:t>
            </w:r>
          </w:p>
        </w:tc>
        <w:tc>
          <w:tcPr>
            <w:tcW w:w="2072" w:type="dxa"/>
            <w:shd w:val="clear" w:color="auto" w:fill="auto"/>
            <w:noWrap/>
            <w:vAlign w:val="bottom"/>
            <w:hideMark/>
          </w:tcPr>
          <w:p w14:paraId="0914C8FE" w14:textId="77777777" w:rsidR="00260A60" w:rsidRPr="002C0765" w:rsidRDefault="00260A60" w:rsidP="0061773C">
            <w:pPr>
              <w:spacing w:after="0" w:line="360" w:lineRule="auto"/>
              <w:ind w:left="-200" w:right="160"/>
              <w:jc w:val="center"/>
              <w:rPr>
                <w:rFonts w:ascii="Calibri" w:eastAsia="Times New Roman" w:hAnsi="Calibri" w:cs="Calibri"/>
                <w:color w:val="000000"/>
              </w:rPr>
            </w:pPr>
            <w:r w:rsidRPr="002C0765">
              <w:rPr>
                <w:rFonts w:ascii="Calibri" w:eastAsia="Times New Roman" w:hAnsi="Calibri" w:cs="Calibri"/>
                <w:color w:val="000000"/>
              </w:rPr>
              <w:t>5:8</w:t>
            </w:r>
          </w:p>
        </w:tc>
      </w:tr>
      <w:tr w:rsidR="00260A60" w:rsidRPr="002C0765" w14:paraId="50703D1E" w14:textId="77777777" w:rsidTr="0061773C">
        <w:trPr>
          <w:trHeight w:val="290"/>
          <w:jc w:val="center"/>
        </w:trPr>
        <w:tc>
          <w:tcPr>
            <w:tcW w:w="2696" w:type="dxa"/>
            <w:shd w:val="clear" w:color="auto" w:fill="auto"/>
            <w:vAlign w:val="bottom"/>
            <w:hideMark/>
          </w:tcPr>
          <w:p w14:paraId="354C2485" w14:textId="77777777" w:rsidR="00260A60" w:rsidRPr="002C0765" w:rsidRDefault="00260A60" w:rsidP="0061773C">
            <w:pPr>
              <w:spacing w:after="0" w:line="360" w:lineRule="auto"/>
              <w:ind w:left="-200" w:right="160"/>
              <w:jc w:val="center"/>
              <w:rPr>
                <w:rFonts w:ascii="Calibri" w:eastAsia="Times New Roman" w:hAnsi="Calibri" w:cs="Calibri"/>
                <w:color w:val="000000"/>
              </w:rPr>
            </w:pPr>
            <w:r w:rsidRPr="002C0765">
              <w:rPr>
                <w:rFonts w:ascii="Calibri" w:eastAsia="Times New Roman" w:hAnsi="Calibri" w:cs="Calibri"/>
                <w:color w:val="000000"/>
              </w:rPr>
              <w:t>ICV (Mean, SD)</w:t>
            </w:r>
          </w:p>
        </w:tc>
        <w:tc>
          <w:tcPr>
            <w:tcW w:w="2072" w:type="dxa"/>
            <w:shd w:val="clear" w:color="auto" w:fill="auto"/>
            <w:noWrap/>
            <w:vAlign w:val="bottom"/>
            <w:hideMark/>
          </w:tcPr>
          <w:p w14:paraId="4521D09E" w14:textId="77777777" w:rsidR="00260A60" w:rsidRPr="002C0765" w:rsidRDefault="00260A60" w:rsidP="0061773C">
            <w:pPr>
              <w:spacing w:after="0" w:line="360" w:lineRule="auto"/>
              <w:ind w:left="-200" w:right="160"/>
              <w:jc w:val="center"/>
              <w:rPr>
                <w:rFonts w:ascii="Calibri" w:eastAsia="Times New Roman" w:hAnsi="Calibri" w:cs="Calibri"/>
                <w:color w:val="000000"/>
              </w:rPr>
            </w:pPr>
            <w:r w:rsidRPr="002C0765">
              <w:rPr>
                <w:rFonts w:ascii="Calibri" w:eastAsia="Times New Roman" w:hAnsi="Calibri" w:cs="Calibri"/>
                <w:color w:val="000000"/>
              </w:rPr>
              <w:t>1280808, 27126.48</w:t>
            </w:r>
          </w:p>
        </w:tc>
        <w:tc>
          <w:tcPr>
            <w:tcW w:w="2072" w:type="dxa"/>
            <w:shd w:val="clear" w:color="auto" w:fill="auto"/>
            <w:noWrap/>
            <w:vAlign w:val="bottom"/>
            <w:hideMark/>
          </w:tcPr>
          <w:p w14:paraId="3D4D101F" w14:textId="77777777" w:rsidR="00260A60" w:rsidRPr="002C0765" w:rsidRDefault="00260A60" w:rsidP="0061773C">
            <w:pPr>
              <w:spacing w:after="0" w:line="360" w:lineRule="auto"/>
              <w:ind w:left="-200" w:right="160"/>
              <w:jc w:val="center"/>
              <w:rPr>
                <w:rFonts w:ascii="Calibri" w:eastAsia="Times New Roman" w:hAnsi="Calibri" w:cs="Calibri"/>
                <w:color w:val="000000"/>
              </w:rPr>
            </w:pPr>
            <w:r w:rsidRPr="002C0765">
              <w:rPr>
                <w:rFonts w:ascii="Calibri" w:eastAsia="Times New Roman" w:hAnsi="Calibri" w:cs="Calibri"/>
                <w:color w:val="000000"/>
              </w:rPr>
              <w:t>1307854, 27727.41</w:t>
            </w:r>
          </w:p>
        </w:tc>
      </w:tr>
    </w:tbl>
    <w:p w14:paraId="7CE58927" w14:textId="77777777" w:rsidR="00260A60" w:rsidRPr="002C0765" w:rsidRDefault="00260A60" w:rsidP="00260A60">
      <w:pPr>
        <w:spacing w:line="360" w:lineRule="auto"/>
        <w:jc w:val="center"/>
        <w:rPr>
          <w:rFonts w:cs="Helvetica Neue"/>
          <w:lang w:eastAsia="ja-JP"/>
        </w:rPr>
      </w:pPr>
    </w:p>
    <w:p w14:paraId="0CCB9488" w14:textId="77777777" w:rsidR="00260A60" w:rsidRDefault="00260A60" w:rsidP="00260A60">
      <w:pPr>
        <w:spacing w:after="0" w:line="480" w:lineRule="auto"/>
        <w:ind w:firstLine="720"/>
        <w:rPr>
          <w:rFonts w:cs="Helvetica Neue"/>
          <w:lang w:eastAsia="ja-JP"/>
        </w:rPr>
      </w:pPr>
      <w:r>
        <w:rPr>
          <w:rFonts w:cs="Helvetica Neue"/>
          <w:lang w:eastAsia="ja-JP"/>
        </w:rPr>
        <w:lastRenderedPageBreak/>
        <w:t xml:space="preserve">Possible confounds (age, sex, and ICV), described </w:t>
      </w:r>
      <w:r w:rsidRPr="004847B4">
        <w:rPr>
          <w:rFonts w:cs="Helvetica Neue"/>
          <w:lang w:eastAsia="ja-JP"/>
        </w:rPr>
        <w:t>in Table 1, were</w:t>
      </w:r>
      <w:r>
        <w:rPr>
          <w:rFonts w:cs="Helvetica Neue"/>
          <w:lang w:eastAsia="ja-JP"/>
        </w:rPr>
        <w:t xml:space="preserve"> examined for significant differences between the groups. Age at the time of the MRI scan showed no significant differences, </w:t>
      </w:r>
      <w:r>
        <w:rPr>
          <w:rFonts w:cs="Helvetica Neue"/>
          <w:i/>
          <w:iCs/>
          <w:lang w:eastAsia="ja-JP"/>
        </w:rPr>
        <w:t>F</w:t>
      </w:r>
      <w:r>
        <w:rPr>
          <w:rFonts w:cs="Helvetica Neue"/>
          <w:lang w:eastAsia="ja-JP"/>
        </w:rPr>
        <w:t xml:space="preserve">(1, 21) = 0.001, </w:t>
      </w:r>
      <w:r>
        <w:rPr>
          <w:rFonts w:cs="Helvetica Neue"/>
          <w:i/>
          <w:iCs/>
          <w:lang w:eastAsia="ja-JP"/>
        </w:rPr>
        <w:t>p</w:t>
      </w:r>
      <w:r>
        <w:rPr>
          <w:rFonts w:cs="Helvetica Neue"/>
          <w:lang w:eastAsia="ja-JP"/>
        </w:rPr>
        <w:t xml:space="preserve"> = .97. Gender showed no significant differences, </w:t>
      </w:r>
      <w:r>
        <w:rPr>
          <w:rFonts w:cstheme="minorHAnsi"/>
          <w:lang w:eastAsia="ja-JP"/>
        </w:rPr>
        <w:t>χ</w:t>
      </w:r>
      <w:r>
        <w:rPr>
          <w:rFonts w:cs="Helvetica Neue"/>
          <w:vertAlign w:val="superscript"/>
          <w:lang w:eastAsia="ja-JP"/>
        </w:rPr>
        <w:t>2</w:t>
      </w:r>
      <w:r>
        <w:rPr>
          <w:rFonts w:cs="Helvetica Neue"/>
          <w:lang w:eastAsia="ja-JP"/>
        </w:rPr>
        <w:t xml:space="preserve"> (1, N = 21) = 0.29, </w:t>
      </w:r>
      <w:r>
        <w:rPr>
          <w:rFonts w:cs="Helvetica Neue"/>
          <w:i/>
          <w:iCs/>
          <w:lang w:eastAsia="ja-JP"/>
        </w:rPr>
        <w:t>p</w:t>
      </w:r>
      <w:r>
        <w:rPr>
          <w:rFonts w:cs="Helvetica Neue"/>
          <w:lang w:eastAsia="ja-JP"/>
        </w:rPr>
        <w:t xml:space="preserve"> = .59. Last, ICV showed no significant differences between groups, </w:t>
      </w:r>
      <w:r>
        <w:rPr>
          <w:rFonts w:cs="Helvetica Neue"/>
          <w:i/>
          <w:iCs/>
          <w:lang w:eastAsia="ja-JP"/>
        </w:rPr>
        <w:t>F</w:t>
      </w:r>
      <w:r>
        <w:rPr>
          <w:rFonts w:cs="Helvetica Neue"/>
          <w:lang w:eastAsia="ja-JP"/>
        </w:rPr>
        <w:t xml:space="preserve">(1, 19) = 0.37, </w:t>
      </w:r>
      <w:r>
        <w:rPr>
          <w:rFonts w:cs="Helvetica Neue"/>
          <w:i/>
          <w:iCs/>
          <w:lang w:eastAsia="ja-JP"/>
        </w:rPr>
        <w:t>p</w:t>
      </w:r>
      <w:r>
        <w:rPr>
          <w:rFonts w:cs="Helvetica Neue"/>
          <w:lang w:eastAsia="ja-JP"/>
        </w:rPr>
        <w:t xml:space="preserve"> = .55. These results suggest the groups were well-matched on these potentially confounding variables. Given these findings and the small sample size, these factors were not controlled for in subsequent analyses.</w:t>
      </w:r>
    </w:p>
    <w:p w14:paraId="790DE684" w14:textId="7350E86E" w:rsidR="00260A60" w:rsidRPr="00686133" w:rsidRDefault="00260A60" w:rsidP="00260A60">
      <w:pPr>
        <w:spacing w:after="0" w:line="480" w:lineRule="auto"/>
        <w:ind w:firstLine="720"/>
        <w:rPr>
          <w:rFonts w:cs="Helvetica Neue"/>
          <w:lang w:eastAsia="ja-JP"/>
        </w:rPr>
      </w:pPr>
      <w:r>
        <w:rPr>
          <w:rFonts w:cs="Helvetica Neue"/>
          <w:lang w:eastAsia="ja-JP"/>
        </w:rPr>
        <w:t>Results of the</w:t>
      </w:r>
      <w:r w:rsidR="00A2703F">
        <w:rPr>
          <w:rFonts w:cs="Helvetica Neue"/>
          <w:lang w:eastAsia="ja-JP"/>
        </w:rPr>
        <w:t xml:space="preserve"> </w:t>
      </w:r>
      <w:r>
        <w:rPr>
          <w:rFonts w:cs="Helvetica Neue"/>
          <w:lang w:eastAsia="ja-JP"/>
        </w:rPr>
        <w:t xml:space="preserve">ANOVA analyses comparing volumes of bilateral hippocampal subregions between nap status groups are </w:t>
      </w:r>
      <w:r w:rsidRPr="004847B4">
        <w:rPr>
          <w:rFonts w:cs="Helvetica Neue"/>
          <w:lang w:eastAsia="ja-JP"/>
        </w:rPr>
        <w:t>shown in Table 2. Total, head</w:t>
      </w:r>
      <w:r>
        <w:rPr>
          <w:rFonts w:cs="Helvetica Neue"/>
          <w:lang w:eastAsia="ja-JP"/>
        </w:rPr>
        <w:t>, and body hippocampal volumes showed non-significant differences, but differences in hippocampal tail volumes between groups approached significance (</w:t>
      </w:r>
      <w:r>
        <w:rPr>
          <w:rFonts w:cs="Helvetica Neue"/>
          <w:i/>
          <w:iCs/>
          <w:lang w:eastAsia="ja-JP"/>
        </w:rPr>
        <w:t>p</w:t>
      </w:r>
      <w:r>
        <w:rPr>
          <w:rFonts w:cs="Helvetica Neue"/>
          <w:lang w:eastAsia="ja-JP"/>
        </w:rPr>
        <w:t xml:space="preserve"> = .081).</w:t>
      </w:r>
    </w:p>
    <w:p w14:paraId="2551503D" w14:textId="77777777" w:rsidR="00260A60" w:rsidRDefault="00260A60" w:rsidP="00260A60">
      <w:pPr>
        <w:spacing w:after="0" w:line="480" w:lineRule="auto"/>
        <w:rPr>
          <w:rFonts w:cs="Helvetica Neue"/>
          <w:b/>
          <w:bCs/>
          <w:lang w:eastAsia="ja-JP"/>
        </w:rPr>
      </w:pPr>
      <w:r>
        <w:rPr>
          <w:rFonts w:cs="Helvetica Neue"/>
          <w:b/>
          <w:bCs/>
          <w:lang w:eastAsia="ja-JP"/>
        </w:rPr>
        <w:t>Table 2</w:t>
      </w:r>
    </w:p>
    <w:p w14:paraId="3B7FF86C" w14:textId="3BF439F8" w:rsidR="00260A60" w:rsidRPr="00D81A95" w:rsidRDefault="00260A60" w:rsidP="00260A60">
      <w:pPr>
        <w:spacing w:after="0" w:line="480" w:lineRule="auto"/>
        <w:rPr>
          <w:rFonts w:cs="Helvetica Neue"/>
          <w:i/>
          <w:iCs/>
          <w:lang w:eastAsia="ja-JP"/>
        </w:rPr>
      </w:pPr>
      <w:r>
        <w:rPr>
          <w:rFonts w:cs="Helvetica Neue"/>
          <w:i/>
          <w:iCs/>
          <w:lang w:eastAsia="ja-JP"/>
        </w:rPr>
        <w:t>Bilateral Hippocampal Volume Analyses Between Nappers and Non-nappers</w:t>
      </w:r>
    </w:p>
    <w:tbl>
      <w:tblPr>
        <w:tblW w:w="5140" w:type="dxa"/>
        <w:jc w:val="center"/>
        <w:tblBorders>
          <w:top w:val="single" w:sz="4" w:space="0" w:color="auto"/>
          <w:bottom w:val="single" w:sz="4" w:space="0" w:color="auto"/>
        </w:tblBorders>
        <w:tblLook w:val="04A0" w:firstRow="1" w:lastRow="0" w:firstColumn="1" w:lastColumn="0" w:noHBand="0" w:noVBand="1"/>
      </w:tblPr>
      <w:tblGrid>
        <w:gridCol w:w="1397"/>
        <w:gridCol w:w="960"/>
        <w:gridCol w:w="960"/>
        <w:gridCol w:w="960"/>
        <w:gridCol w:w="960"/>
      </w:tblGrid>
      <w:tr w:rsidR="00260A60" w:rsidRPr="0045254A" w14:paraId="7A7E6A5C" w14:textId="77777777" w:rsidTr="0061773C">
        <w:trPr>
          <w:trHeight w:val="640"/>
          <w:jc w:val="center"/>
        </w:trPr>
        <w:tc>
          <w:tcPr>
            <w:tcW w:w="5140" w:type="dxa"/>
            <w:gridSpan w:val="5"/>
            <w:tcBorders>
              <w:top w:val="single" w:sz="4" w:space="0" w:color="auto"/>
              <w:bottom w:val="single" w:sz="4" w:space="0" w:color="auto"/>
            </w:tcBorders>
            <w:shd w:val="clear" w:color="auto" w:fill="auto"/>
            <w:vAlign w:val="bottom"/>
            <w:hideMark/>
          </w:tcPr>
          <w:p w14:paraId="376A0CEB" w14:textId="77777777" w:rsidR="00260A60" w:rsidRPr="0045254A" w:rsidRDefault="00260A60" w:rsidP="0061773C">
            <w:pPr>
              <w:spacing w:after="0" w:line="276" w:lineRule="auto"/>
              <w:jc w:val="center"/>
              <w:rPr>
                <w:rFonts w:ascii="Calibri" w:eastAsia="Times New Roman" w:hAnsi="Calibri" w:cs="Calibri"/>
                <w:color w:val="000000"/>
              </w:rPr>
            </w:pPr>
            <w:bookmarkStart w:id="2" w:name="_Hlk38473955"/>
            <w:r w:rsidRPr="0045254A">
              <w:rPr>
                <w:rFonts w:ascii="Calibri" w:eastAsia="Times New Roman" w:hAnsi="Calibri" w:cs="Calibri"/>
                <w:color w:val="000000"/>
              </w:rPr>
              <w:t>ANOVA Results of Hippocampal Volumes Between Nappers and Non-nappers</w:t>
            </w:r>
          </w:p>
        </w:tc>
      </w:tr>
      <w:tr w:rsidR="00260A60" w:rsidRPr="0045254A" w14:paraId="5AE10CA6" w14:textId="77777777" w:rsidTr="0061773C">
        <w:trPr>
          <w:trHeight w:val="580"/>
          <w:jc w:val="center"/>
        </w:trPr>
        <w:tc>
          <w:tcPr>
            <w:tcW w:w="1300" w:type="dxa"/>
            <w:tcBorders>
              <w:top w:val="single" w:sz="4" w:space="0" w:color="auto"/>
              <w:bottom w:val="single" w:sz="4" w:space="0" w:color="auto"/>
            </w:tcBorders>
            <w:shd w:val="clear" w:color="auto" w:fill="auto"/>
            <w:vAlign w:val="bottom"/>
            <w:hideMark/>
          </w:tcPr>
          <w:p w14:paraId="5EC34734" w14:textId="77777777" w:rsidR="00260A60" w:rsidRPr="0045254A" w:rsidRDefault="00260A60" w:rsidP="0061773C">
            <w:pPr>
              <w:spacing w:after="0" w:line="276" w:lineRule="auto"/>
              <w:jc w:val="center"/>
              <w:rPr>
                <w:rFonts w:ascii="Calibri" w:eastAsia="Times New Roman" w:hAnsi="Calibri" w:cs="Calibri"/>
                <w:color w:val="000000"/>
              </w:rPr>
            </w:pPr>
            <w:r w:rsidRPr="0045254A">
              <w:rPr>
                <w:rFonts w:ascii="Calibri" w:eastAsia="Times New Roman" w:hAnsi="Calibri" w:cstheme="minorHAnsi"/>
                <w:color w:val="000000"/>
              </w:rPr>
              <w:t>Hippocampal volume</w:t>
            </w:r>
          </w:p>
        </w:tc>
        <w:tc>
          <w:tcPr>
            <w:tcW w:w="960" w:type="dxa"/>
            <w:tcBorders>
              <w:top w:val="single" w:sz="4" w:space="0" w:color="auto"/>
              <w:bottom w:val="single" w:sz="4" w:space="0" w:color="auto"/>
            </w:tcBorders>
            <w:shd w:val="clear" w:color="auto" w:fill="auto"/>
            <w:vAlign w:val="bottom"/>
            <w:hideMark/>
          </w:tcPr>
          <w:p w14:paraId="048F726E" w14:textId="77777777" w:rsidR="00260A60" w:rsidRPr="0045254A" w:rsidRDefault="00260A60" w:rsidP="0061773C">
            <w:pPr>
              <w:spacing w:after="0" w:line="276" w:lineRule="auto"/>
              <w:jc w:val="center"/>
              <w:rPr>
                <w:rFonts w:ascii="Calibri" w:eastAsia="Times New Roman" w:hAnsi="Calibri" w:cs="Calibri"/>
                <w:color w:val="000000"/>
              </w:rPr>
            </w:pPr>
            <w:r w:rsidRPr="0045254A">
              <w:rPr>
                <w:rFonts w:ascii="Calibri" w:eastAsia="Times New Roman" w:hAnsi="Calibri" w:cs="Calibri"/>
                <w:color w:val="000000"/>
              </w:rPr>
              <w:t>df</w:t>
            </w:r>
          </w:p>
        </w:tc>
        <w:tc>
          <w:tcPr>
            <w:tcW w:w="960" w:type="dxa"/>
            <w:tcBorders>
              <w:top w:val="single" w:sz="4" w:space="0" w:color="auto"/>
              <w:bottom w:val="single" w:sz="4" w:space="0" w:color="auto"/>
            </w:tcBorders>
            <w:shd w:val="clear" w:color="auto" w:fill="auto"/>
            <w:vAlign w:val="bottom"/>
            <w:hideMark/>
          </w:tcPr>
          <w:p w14:paraId="0E25A5F4" w14:textId="77777777" w:rsidR="00260A60" w:rsidRPr="0045254A" w:rsidRDefault="00260A60" w:rsidP="0061773C">
            <w:pPr>
              <w:spacing w:after="0" w:line="276" w:lineRule="auto"/>
              <w:jc w:val="center"/>
              <w:rPr>
                <w:rFonts w:ascii="Calibri" w:eastAsia="Times New Roman" w:hAnsi="Calibri" w:cs="Calibri"/>
                <w:i/>
                <w:iCs/>
                <w:color w:val="000000"/>
              </w:rPr>
            </w:pPr>
            <w:r w:rsidRPr="0045254A">
              <w:rPr>
                <w:rFonts w:ascii="Calibri" w:eastAsia="Times New Roman" w:hAnsi="Calibri" w:cs="Calibri"/>
                <w:i/>
                <w:iCs/>
                <w:color w:val="000000"/>
              </w:rPr>
              <w:t>F</w:t>
            </w:r>
          </w:p>
        </w:tc>
        <w:tc>
          <w:tcPr>
            <w:tcW w:w="960" w:type="dxa"/>
            <w:tcBorders>
              <w:top w:val="single" w:sz="4" w:space="0" w:color="auto"/>
              <w:bottom w:val="single" w:sz="4" w:space="0" w:color="auto"/>
            </w:tcBorders>
            <w:shd w:val="clear" w:color="auto" w:fill="auto"/>
            <w:vAlign w:val="bottom"/>
            <w:hideMark/>
          </w:tcPr>
          <w:p w14:paraId="555C39C3" w14:textId="77777777" w:rsidR="00260A60" w:rsidRPr="0045254A" w:rsidRDefault="00260A60" w:rsidP="0061773C">
            <w:pPr>
              <w:spacing w:after="0" w:line="276" w:lineRule="auto"/>
              <w:jc w:val="center"/>
              <w:rPr>
                <w:rFonts w:ascii="Calibri" w:eastAsia="Times New Roman" w:hAnsi="Calibri" w:cs="Calibri"/>
                <w:color w:val="000000"/>
              </w:rPr>
            </w:pPr>
            <w:r w:rsidRPr="0045254A">
              <w:rPr>
                <w:rFonts w:ascii="Calibri" w:eastAsia="Times New Roman" w:hAnsi="Calibri" w:cs="Calibri"/>
                <w:color w:val="000000"/>
              </w:rPr>
              <w:t>SD</w:t>
            </w:r>
          </w:p>
        </w:tc>
        <w:tc>
          <w:tcPr>
            <w:tcW w:w="960" w:type="dxa"/>
            <w:tcBorders>
              <w:top w:val="single" w:sz="4" w:space="0" w:color="auto"/>
              <w:bottom w:val="single" w:sz="4" w:space="0" w:color="auto"/>
            </w:tcBorders>
            <w:shd w:val="clear" w:color="auto" w:fill="auto"/>
            <w:vAlign w:val="bottom"/>
            <w:hideMark/>
          </w:tcPr>
          <w:p w14:paraId="4E20C98D" w14:textId="77777777" w:rsidR="00260A60" w:rsidRPr="0045254A" w:rsidRDefault="00260A60" w:rsidP="0061773C">
            <w:pPr>
              <w:spacing w:after="0" w:line="276" w:lineRule="auto"/>
              <w:jc w:val="center"/>
              <w:rPr>
                <w:rFonts w:ascii="Calibri" w:eastAsia="Times New Roman" w:hAnsi="Calibri" w:cs="Calibri"/>
                <w:i/>
                <w:iCs/>
                <w:color w:val="000000"/>
              </w:rPr>
            </w:pPr>
            <w:r w:rsidRPr="0045254A">
              <w:rPr>
                <w:rFonts w:ascii="Calibri" w:eastAsia="Times New Roman" w:hAnsi="Calibri" w:cs="Calibri"/>
                <w:i/>
                <w:iCs/>
                <w:color w:val="000000"/>
              </w:rPr>
              <w:t>p</w:t>
            </w:r>
          </w:p>
        </w:tc>
      </w:tr>
      <w:tr w:rsidR="00260A60" w:rsidRPr="0045254A" w14:paraId="69C723C1" w14:textId="77777777" w:rsidTr="0061773C">
        <w:trPr>
          <w:trHeight w:val="290"/>
          <w:jc w:val="center"/>
        </w:trPr>
        <w:tc>
          <w:tcPr>
            <w:tcW w:w="1300" w:type="dxa"/>
            <w:tcBorders>
              <w:top w:val="single" w:sz="4" w:space="0" w:color="auto"/>
            </w:tcBorders>
            <w:shd w:val="clear" w:color="auto" w:fill="auto"/>
            <w:vAlign w:val="bottom"/>
            <w:hideMark/>
          </w:tcPr>
          <w:p w14:paraId="06AF21C3" w14:textId="77777777" w:rsidR="00260A60" w:rsidRPr="0045254A" w:rsidRDefault="00260A60" w:rsidP="0061773C">
            <w:pPr>
              <w:spacing w:after="0" w:line="360" w:lineRule="auto"/>
              <w:jc w:val="center"/>
              <w:rPr>
                <w:rFonts w:ascii="Calibri" w:eastAsia="Times New Roman" w:hAnsi="Calibri" w:cs="Calibri"/>
                <w:color w:val="000000"/>
              </w:rPr>
            </w:pPr>
            <w:r w:rsidRPr="0045254A">
              <w:rPr>
                <w:rFonts w:ascii="Calibri" w:eastAsia="Times New Roman" w:hAnsi="Calibri" w:cs="Calibri"/>
                <w:color w:val="000000"/>
              </w:rPr>
              <w:t>Total</w:t>
            </w:r>
          </w:p>
        </w:tc>
        <w:tc>
          <w:tcPr>
            <w:tcW w:w="960" w:type="dxa"/>
            <w:tcBorders>
              <w:top w:val="single" w:sz="4" w:space="0" w:color="auto"/>
            </w:tcBorders>
            <w:shd w:val="clear" w:color="auto" w:fill="auto"/>
            <w:noWrap/>
            <w:vAlign w:val="bottom"/>
            <w:hideMark/>
          </w:tcPr>
          <w:p w14:paraId="07AEE712" w14:textId="77777777" w:rsidR="00260A60" w:rsidRPr="0045254A" w:rsidRDefault="00260A60" w:rsidP="0061773C">
            <w:pPr>
              <w:spacing w:after="0" w:line="360" w:lineRule="auto"/>
              <w:jc w:val="center"/>
              <w:rPr>
                <w:rFonts w:ascii="Calibri" w:eastAsia="Times New Roman" w:hAnsi="Calibri" w:cs="Calibri"/>
                <w:color w:val="000000"/>
              </w:rPr>
            </w:pPr>
            <w:r w:rsidRPr="0045254A">
              <w:rPr>
                <w:rFonts w:ascii="Calibri" w:eastAsia="Times New Roman" w:hAnsi="Calibri" w:cs="Calibri"/>
                <w:color w:val="000000"/>
              </w:rPr>
              <w:t>20</w:t>
            </w:r>
          </w:p>
        </w:tc>
        <w:tc>
          <w:tcPr>
            <w:tcW w:w="960" w:type="dxa"/>
            <w:tcBorders>
              <w:top w:val="single" w:sz="4" w:space="0" w:color="auto"/>
            </w:tcBorders>
            <w:shd w:val="clear" w:color="auto" w:fill="auto"/>
            <w:noWrap/>
            <w:vAlign w:val="bottom"/>
            <w:hideMark/>
          </w:tcPr>
          <w:p w14:paraId="5BE35DFA" w14:textId="77777777" w:rsidR="00260A60" w:rsidRPr="0045254A" w:rsidRDefault="00260A60" w:rsidP="0061773C">
            <w:pPr>
              <w:spacing w:after="0" w:line="360" w:lineRule="auto"/>
              <w:jc w:val="center"/>
              <w:rPr>
                <w:rFonts w:ascii="Calibri" w:eastAsia="Times New Roman" w:hAnsi="Calibri" w:cs="Calibri"/>
                <w:color w:val="000000"/>
              </w:rPr>
            </w:pPr>
            <w:r w:rsidRPr="0045254A">
              <w:rPr>
                <w:rFonts w:ascii="Calibri" w:eastAsia="Times New Roman" w:hAnsi="Calibri" w:cs="Calibri"/>
                <w:color w:val="000000"/>
              </w:rPr>
              <w:t>0.218</w:t>
            </w:r>
          </w:p>
        </w:tc>
        <w:tc>
          <w:tcPr>
            <w:tcW w:w="960" w:type="dxa"/>
            <w:tcBorders>
              <w:top w:val="single" w:sz="4" w:space="0" w:color="auto"/>
            </w:tcBorders>
            <w:shd w:val="clear" w:color="auto" w:fill="auto"/>
            <w:noWrap/>
            <w:vAlign w:val="bottom"/>
            <w:hideMark/>
          </w:tcPr>
          <w:p w14:paraId="3C9921C1" w14:textId="77777777" w:rsidR="00260A60" w:rsidRPr="0045254A" w:rsidRDefault="00260A60" w:rsidP="0061773C">
            <w:pPr>
              <w:spacing w:after="0" w:line="360" w:lineRule="auto"/>
              <w:jc w:val="center"/>
              <w:rPr>
                <w:rFonts w:ascii="Calibri" w:eastAsia="Times New Roman" w:hAnsi="Calibri" w:cs="Calibri"/>
                <w:color w:val="000000"/>
              </w:rPr>
            </w:pPr>
            <w:r w:rsidRPr="0045254A">
              <w:rPr>
                <w:rFonts w:ascii="Calibri" w:eastAsia="Times New Roman" w:hAnsi="Calibri" w:cs="Calibri"/>
                <w:color w:val="000000"/>
              </w:rPr>
              <w:t>46.651</w:t>
            </w:r>
          </w:p>
        </w:tc>
        <w:tc>
          <w:tcPr>
            <w:tcW w:w="960" w:type="dxa"/>
            <w:tcBorders>
              <w:top w:val="single" w:sz="4" w:space="0" w:color="auto"/>
            </w:tcBorders>
            <w:shd w:val="clear" w:color="auto" w:fill="auto"/>
            <w:noWrap/>
            <w:vAlign w:val="bottom"/>
            <w:hideMark/>
          </w:tcPr>
          <w:p w14:paraId="59B0AC19" w14:textId="77777777" w:rsidR="00260A60" w:rsidRPr="0045254A" w:rsidRDefault="00260A60" w:rsidP="0061773C">
            <w:pPr>
              <w:spacing w:after="0" w:line="360" w:lineRule="auto"/>
              <w:jc w:val="center"/>
              <w:rPr>
                <w:rFonts w:ascii="Calibri" w:eastAsia="Times New Roman" w:hAnsi="Calibri" w:cs="Calibri"/>
                <w:color w:val="000000"/>
              </w:rPr>
            </w:pPr>
            <w:r w:rsidRPr="0045254A">
              <w:rPr>
                <w:rFonts w:ascii="Calibri" w:eastAsia="Times New Roman" w:hAnsi="Calibri" w:cs="Calibri"/>
                <w:color w:val="000000"/>
              </w:rPr>
              <w:t>0.646</w:t>
            </w:r>
          </w:p>
        </w:tc>
      </w:tr>
      <w:tr w:rsidR="00260A60" w:rsidRPr="0045254A" w14:paraId="61EC71E0" w14:textId="77777777" w:rsidTr="0061773C">
        <w:trPr>
          <w:trHeight w:val="290"/>
          <w:jc w:val="center"/>
        </w:trPr>
        <w:tc>
          <w:tcPr>
            <w:tcW w:w="1300" w:type="dxa"/>
            <w:shd w:val="clear" w:color="auto" w:fill="auto"/>
            <w:vAlign w:val="bottom"/>
            <w:hideMark/>
          </w:tcPr>
          <w:p w14:paraId="17B399CD" w14:textId="77777777" w:rsidR="00260A60" w:rsidRPr="0045254A" w:rsidRDefault="00260A60" w:rsidP="0061773C">
            <w:pPr>
              <w:spacing w:after="0" w:line="360" w:lineRule="auto"/>
              <w:jc w:val="center"/>
              <w:rPr>
                <w:rFonts w:ascii="Calibri" w:eastAsia="Times New Roman" w:hAnsi="Calibri" w:cs="Calibri"/>
                <w:color w:val="000000"/>
              </w:rPr>
            </w:pPr>
            <w:r w:rsidRPr="0045254A">
              <w:rPr>
                <w:rFonts w:ascii="Calibri" w:eastAsia="Times New Roman" w:hAnsi="Calibri" w:cs="Calibri"/>
                <w:color w:val="000000"/>
              </w:rPr>
              <w:t>Head</w:t>
            </w:r>
          </w:p>
        </w:tc>
        <w:tc>
          <w:tcPr>
            <w:tcW w:w="960" w:type="dxa"/>
            <w:shd w:val="clear" w:color="auto" w:fill="auto"/>
            <w:noWrap/>
            <w:vAlign w:val="bottom"/>
            <w:hideMark/>
          </w:tcPr>
          <w:p w14:paraId="60201C85" w14:textId="77777777" w:rsidR="00260A60" w:rsidRPr="0045254A" w:rsidRDefault="00260A60" w:rsidP="0061773C">
            <w:pPr>
              <w:spacing w:after="0" w:line="360" w:lineRule="auto"/>
              <w:jc w:val="center"/>
              <w:rPr>
                <w:rFonts w:ascii="Calibri" w:eastAsia="Times New Roman" w:hAnsi="Calibri" w:cs="Calibri"/>
                <w:color w:val="000000"/>
              </w:rPr>
            </w:pPr>
            <w:r w:rsidRPr="0045254A">
              <w:rPr>
                <w:rFonts w:ascii="Calibri" w:eastAsia="Times New Roman" w:hAnsi="Calibri" w:cs="Calibri"/>
                <w:color w:val="000000"/>
              </w:rPr>
              <w:t>20</w:t>
            </w:r>
          </w:p>
        </w:tc>
        <w:tc>
          <w:tcPr>
            <w:tcW w:w="960" w:type="dxa"/>
            <w:shd w:val="clear" w:color="auto" w:fill="auto"/>
            <w:noWrap/>
            <w:vAlign w:val="bottom"/>
            <w:hideMark/>
          </w:tcPr>
          <w:p w14:paraId="4AF30C5B" w14:textId="77777777" w:rsidR="00260A60" w:rsidRPr="0045254A" w:rsidRDefault="00260A60" w:rsidP="0061773C">
            <w:pPr>
              <w:spacing w:after="0" w:line="360" w:lineRule="auto"/>
              <w:jc w:val="center"/>
              <w:rPr>
                <w:rFonts w:ascii="Calibri" w:eastAsia="Times New Roman" w:hAnsi="Calibri" w:cs="Calibri"/>
                <w:color w:val="000000"/>
              </w:rPr>
            </w:pPr>
            <w:r w:rsidRPr="0045254A">
              <w:rPr>
                <w:rFonts w:ascii="Calibri" w:eastAsia="Times New Roman" w:hAnsi="Calibri" w:cs="Calibri"/>
                <w:color w:val="000000"/>
              </w:rPr>
              <w:t>1.283</w:t>
            </w:r>
          </w:p>
        </w:tc>
        <w:tc>
          <w:tcPr>
            <w:tcW w:w="960" w:type="dxa"/>
            <w:shd w:val="clear" w:color="auto" w:fill="auto"/>
            <w:noWrap/>
            <w:vAlign w:val="bottom"/>
            <w:hideMark/>
          </w:tcPr>
          <w:p w14:paraId="692DEA6E" w14:textId="77777777" w:rsidR="00260A60" w:rsidRPr="0045254A" w:rsidRDefault="00260A60" w:rsidP="0061773C">
            <w:pPr>
              <w:spacing w:after="0" w:line="360" w:lineRule="auto"/>
              <w:jc w:val="center"/>
              <w:rPr>
                <w:rFonts w:ascii="Calibri" w:eastAsia="Times New Roman" w:hAnsi="Calibri" w:cs="Calibri"/>
                <w:color w:val="000000"/>
              </w:rPr>
            </w:pPr>
            <w:r w:rsidRPr="0045254A">
              <w:rPr>
                <w:rFonts w:ascii="Calibri" w:eastAsia="Times New Roman" w:hAnsi="Calibri" w:cs="Calibri"/>
                <w:color w:val="000000"/>
              </w:rPr>
              <w:t>94.188</w:t>
            </w:r>
          </w:p>
        </w:tc>
        <w:tc>
          <w:tcPr>
            <w:tcW w:w="960" w:type="dxa"/>
            <w:shd w:val="clear" w:color="auto" w:fill="auto"/>
            <w:noWrap/>
            <w:vAlign w:val="bottom"/>
            <w:hideMark/>
          </w:tcPr>
          <w:p w14:paraId="218762F7" w14:textId="77777777" w:rsidR="00260A60" w:rsidRPr="0045254A" w:rsidRDefault="00260A60" w:rsidP="0061773C">
            <w:pPr>
              <w:spacing w:after="0" w:line="360" w:lineRule="auto"/>
              <w:jc w:val="center"/>
              <w:rPr>
                <w:rFonts w:ascii="Calibri" w:eastAsia="Times New Roman" w:hAnsi="Calibri" w:cs="Calibri"/>
                <w:color w:val="000000"/>
              </w:rPr>
            </w:pPr>
            <w:r w:rsidRPr="0045254A">
              <w:rPr>
                <w:rFonts w:ascii="Calibri" w:eastAsia="Times New Roman" w:hAnsi="Calibri" w:cs="Calibri"/>
                <w:color w:val="000000"/>
              </w:rPr>
              <w:t>0.271</w:t>
            </w:r>
          </w:p>
        </w:tc>
      </w:tr>
      <w:tr w:rsidR="00260A60" w:rsidRPr="0045254A" w14:paraId="49C249C4" w14:textId="77777777" w:rsidTr="0061773C">
        <w:trPr>
          <w:trHeight w:val="290"/>
          <w:jc w:val="center"/>
        </w:trPr>
        <w:tc>
          <w:tcPr>
            <w:tcW w:w="1300" w:type="dxa"/>
            <w:shd w:val="clear" w:color="auto" w:fill="auto"/>
            <w:vAlign w:val="bottom"/>
            <w:hideMark/>
          </w:tcPr>
          <w:p w14:paraId="46D9778A" w14:textId="77777777" w:rsidR="00260A60" w:rsidRPr="0045254A" w:rsidRDefault="00260A60" w:rsidP="0061773C">
            <w:pPr>
              <w:spacing w:after="0" w:line="360" w:lineRule="auto"/>
              <w:jc w:val="center"/>
              <w:rPr>
                <w:rFonts w:ascii="Calibri" w:eastAsia="Times New Roman" w:hAnsi="Calibri" w:cs="Calibri"/>
                <w:color w:val="000000"/>
              </w:rPr>
            </w:pPr>
            <w:r w:rsidRPr="0045254A">
              <w:rPr>
                <w:rFonts w:ascii="Calibri" w:eastAsia="Times New Roman" w:hAnsi="Calibri" w:cs="Calibri"/>
                <w:color w:val="000000"/>
              </w:rPr>
              <w:t>Body</w:t>
            </w:r>
          </w:p>
        </w:tc>
        <w:tc>
          <w:tcPr>
            <w:tcW w:w="960" w:type="dxa"/>
            <w:shd w:val="clear" w:color="auto" w:fill="auto"/>
            <w:noWrap/>
            <w:vAlign w:val="bottom"/>
            <w:hideMark/>
          </w:tcPr>
          <w:p w14:paraId="1FCBC8D2" w14:textId="77777777" w:rsidR="00260A60" w:rsidRPr="0045254A" w:rsidRDefault="00260A60" w:rsidP="0061773C">
            <w:pPr>
              <w:spacing w:after="0" w:line="360" w:lineRule="auto"/>
              <w:jc w:val="center"/>
              <w:rPr>
                <w:rFonts w:ascii="Calibri" w:eastAsia="Times New Roman" w:hAnsi="Calibri" w:cs="Calibri"/>
                <w:color w:val="000000"/>
              </w:rPr>
            </w:pPr>
            <w:r w:rsidRPr="0045254A">
              <w:rPr>
                <w:rFonts w:ascii="Calibri" w:eastAsia="Times New Roman" w:hAnsi="Calibri" w:cs="Calibri"/>
                <w:color w:val="000000"/>
              </w:rPr>
              <w:t>20</w:t>
            </w:r>
          </w:p>
        </w:tc>
        <w:tc>
          <w:tcPr>
            <w:tcW w:w="960" w:type="dxa"/>
            <w:shd w:val="clear" w:color="auto" w:fill="auto"/>
            <w:noWrap/>
            <w:vAlign w:val="bottom"/>
            <w:hideMark/>
          </w:tcPr>
          <w:p w14:paraId="67E3D20A" w14:textId="77777777" w:rsidR="00260A60" w:rsidRPr="0045254A" w:rsidRDefault="00260A60" w:rsidP="0061773C">
            <w:pPr>
              <w:spacing w:after="0" w:line="360" w:lineRule="auto"/>
              <w:jc w:val="center"/>
              <w:rPr>
                <w:rFonts w:ascii="Calibri" w:eastAsia="Times New Roman" w:hAnsi="Calibri" w:cs="Calibri"/>
                <w:color w:val="000000"/>
              </w:rPr>
            </w:pPr>
            <w:r w:rsidRPr="0045254A">
              <w:rPr>
                <w:rFonts w:ascii="Calibri" w:eastAsia="Times New Roman" w:hAnsi="Calibri" w:cs="Calibri"/>
                <w:color w:val="000000"/>
              </w:rPr>
              <w:t>0.673</w:t>
            </w:r>
          </w:p>
        </w:tc>
        <w:tc>
          <w:tcPr>
            <w:tcW w:w="960" w:type="dxa"/>
            <w:shd w:val="clear" w:color="auto" w:fill="auto"/>
            <w:noWrap/>
            <w:vAlign w:val="bottom"/>
            <w:hideMark/>
          </w:tcPr>
          <w:p w14:paraId="29FDBADA" w14:textId="77777777" w:rsidR="00260A60" w:rsidRPr="0045254A" w:rsidRDefault="00260A60" w:rsidP="0061773C">
            <w:pPr>
              <w:spacing w:after="0" w:line="360" w:lineRule="auto"/>
              <w:jc w:val="center"/>
              <w:rPr>
                <w:rFonts w:ascii="Calibri" w:eastAsia="Times New Roman" w:hAnsi="Calibri" w:cs="Calibri"/>
                <w:color w:val="000000"/>
              </w:rPr>
            </w:pPr>
            <w:r w:rsidRPr="0045254A">
              <w:rPr>
                <w:rFonts w:ascii="Calibri" w:eastAsia="Times New Roman" w:hAnsi="Calibri" w:cs="Calibri"/>
                <w:color w:val="000000"/>
              </w:rPr>
              <w:t>48.895</w:t>
            </w:r>
          </w:p>
        </w:tc>
        <w:tc>
          <w:tcPr>
            <w:tcW w:w="960" w:type="dxa"/>
            <w:shd w:val="clear" w:color="auto" w:fill="auto"/>
            <w:noWrap/>
            <w:vAlign w:val="bottom"/>
            <w:hideMark/>
          </w:tcPr>
          <w:p w14:paraId="05F60248" w14:textId="77777777" w:rsidR="00260A60" w:rsidRPr="0045254A" w:rsidRDefault="00260A60" w:rsidP="0061773C">
            <w:pPr>
              <w:spacing w:after="0" w:line="360" w:lineRule="auto"/>
              <w:jc w:val="center"/>
              <w:rPr>
                <w:rFonts w:ascii="Calibri" w:eastAsia="Times New Roman" w:hAnsi="Calibri" w:cs="Calibri"/>
                <w:color w:val="000000"/>
              </w:rPr>
            </w:pPr>
            <w:r w:rsidRPr="0045254A">
              <w:rPr>
                <w:rFonts w:ascii="Calibri" w:eastAsia="Times New Roman" w:hAnsi="Calibri" w:cs="Calibri"/>
                <w:color w:val="000000"/>
              </w:rPr>
              <w:t>0.422</w:t>
            </w:r>
          </w:p>
        </w:tc>
      </w:tr>
      <w:tr w:rsidR="00260A60" w:rsidRPr="0045254A" w14:paraId="05C5BC73" w14:textId="77777777" w:rsidTr="0061773C">
        <w:trPr>
          <w:trHeight w:val="290"/>
          <w:jc w:val="center"/>
        </w:trPr>
        <w:tc>
          <w:tcPr>
            <w:tcW w:w="1300" w:type="dxa"/>
            <w:shd w:val="clear" w:color="auto" w:fill="auto"/>
            <w:vAlign w:val="bottom"/>
            <w:hideMark/>
          </w:tcPr>
          <w:p w14:paraId="3D94B43A" w14:textId="77777777" w:rsidR="00260A60" w:rsidRPr="0045254A" w:rsidRDefault="00260A60" w:rsidP="0086150B">
            <w:pPr>
              <w:spacing w:after="0" w:line="480" w:lineRule="auto"/>
              <w:jc w:val="center"/>
              <w:rPr>
                <w:rFonts w:ascii="Calibri" w:eastAsia="Times New Roman" w:hAnsi="Calibri" w:cs="Calibri"/>
                <w:color w:val="000000"/>
              </w:rPr>
            </w:pPr>
            <w:r w:rsidRPr="0045254A">
              <w:rPr>
                <w:rFonts w:ascii="Calibri" w:eastAsia="Times New Roman" w:hAnsi="Calibri" w:cs="Calibri"/>
                <w:color w:val="000000"/>
              </w:rPr>
              <w:t>Tail</w:t>
            </w:r>
          </w:p>
        </w:tc>
        <w:tc>
          <w:tcPr>
            <w:tcW w:w="960" w:type="dxa"/>
            <w:shd w:val="clear" w:color="auto" w:fill="auto"/>
            <w:noWrap/>
            <w:vAlign w:val="bottom"/>
            <w:hideMark/>
          </w:tcPr>
          <w:p w14:paraId="0CD2EE9D" w14:textId="77777777" w:rsidR="00260A60" w:rsidRPr="0045254A" w:rsidRDefault="00260A60" w:rsidP="0086150B">
            <w:pPr>
              <w:spacing w:after="0" w:line="480" w:lineRule="auto"/>
              <w:jc w:val="center"/>
              <w:rPr>
                <w:rFonts w:ascii="Calibri" w:eastAsia="Times New Roman" w:hAnsi="Calibri" w:cs="Calibri"/>
                <w:color w:val="000000"/>
              </w:rPr>
            </w:pPr>
            <w:r w:rsidRPr="0045254A">
              <w:rPr>
                <w:rFonts w:ascii="Calibri" w:eastAsia="Times New Roman" w:hAnsi="Calibri" w:cs="Calibri"/>
                <w:color w:val="000000"/>
              </w:rPr>
              <w:t>20</w:t>
            </w:r>
          </w:p>
        </w:tc>
        <w:tc>
          <w:tcPr>
            <w:tcW w:w="960" w:type="dxa"/>
            <w:shd w:val="clear" w:color="auto" w:fill="auto"/>
            <w:noWrap/>
            <w:vAlign w:val="bottom"/>
            <w:hideMark/>
          </w:tcPr>
          <w:p w14:paraId="1318B2D6" w14:textId="77777777" w:rsidR="00260A60" w:rsidRPr="0045254A" w:rsidRDefault="00260A60" w:rsidP="0086150B">
            <w:pPr>
              <w:spacing w:after="0" w:line="480" w:lineRule="auto"/>
              <w:jc w:val="center"/>
              <w:rPr>
                <w:rFonts w:ascii="Calibri" w:eastAsia="Times New Roman" w:hAnsi="Calibri" w:cs="Calibri"/>
                <w:color w:val="000000"/>
              </w:rPr>
            </w:pPr>
            <w:r w:rsidRPr="0045254A">
              <w:rPr>
                <w:rFonts w:ascii="Calibri" w:eastAsia="Times New Roman" w:hAnsi="Calibri" w:cs="Calibri"/>
                <w:color w:val="000000"/>
              </w:rPr>
              <w:t>3.4</w:t>
            </w:r>
            <w:r>
              <w:rPr>
                <w:rFonts w:ascii="Calibri" w:eastAsia="Times New Roman" w:hAnsi="Calibri" w:cs="Calibri"/>
                <w:color w:val="000000"/>
              </w:rPr>
              <w:t>00</w:t>
            </w:r>
          </w:p>
        </w:tc>
        <w:tc>
          <w:tcPr>
            <w:tcW w:w="960" w:type="dxa"/>
            <w:shd w:val="clear" w:color="auto" w:fill="auto"/>
            <w:noWrap/>
            <w:vAlign w:val="bottom"/>
            <w:hideMark/>
          </w:tcPr>
          <w:p w14:paraId="35917F41" w14:textId="77777777" w:rsidR="00260A60" w:rsidRPr="0045254A" w:rsidRDefault="00260A60" w:rsidP="0086150B">
            <w:pPr>
              <w:spacing w:after="0" w:line="480" w:lineRule="auto"/>
              <w:jc w:val="center"/>
              <w:rPr>
                <w:rFonts w:ascii="Calibri" w:eastAsia="Times New Roman" w:hAnsi="Calibri" w:cs="Calibri"/>
                <w:color w:val="000000"/>
              </w:rPr>
            </w:pPr>
            <w:r w:rsidRPr="0045254A">
              <w:rPr>
                <w:rFonts w:ascii="Calibri" w:eastAsia="Times New Roman" w:hAnsi="Calibri" w:cs="Calibri"/>
                <w:color w:val="000000"/>
              </w:rPr>
              <w:t>96.432</w:t>
            </w:r>
          </w:p>
        </w:tc>
        <w:tc>
          <w:tcPr>
            <w:tcW w:w="960" w:type="dxa"/>
            <w:shd w:val="clear" w:color="auto" w:fill="auto"/>
            <w:noWrap/>
            <w:vAlign w:val="bottom"/>
            <w:hideMark/>
          </w:tcPr>
          <w:p w14:paraId="29CBAD57" w14:textId="77777777" w:rsidR="00260A60" w:rsidRPr="0045254A" w:rsidRDefault="00260A60" w:rsidP="0086150B">
            <w:pPr>
              <w:spacing w:after="0" w:line="480" w:lineRule="auto"/>
              <w:jc w:val="center"/>
              <w:rPr>
                <w:rFonts w:ascii="Calibri" w:eastAsia="Times New Roman" w:hAnsi="Calibri" w:cs="Calibri"/>
                <w:b/>
                <w:bCs/>
                <w:color w:val="000000"/>
                <w:vertAlign w:val="superscript"/>
              </w:rPr>
            </w:pPr>
            <w:r w:rsidRPr="0045254A">
              <w:rPr>
                <w:rFonts w:ascii="Calibri" w:eastAsia="Times New Roman" w:hAnsi="Calibri" w:cs="Calibri"/>
                <w:b/>
                <w:bCs/>
                <w:color w:val="000000"/>
              </w:rPr>
              <w:t>0.081</w:t>
            </w:r>
            <w:r w:rsidRPr="00665886">
              <w:rPr>
                <w:rFonts w:cstheme="minorHAnsi"/>
                <w:b/>
                <w:bCs/>
                <w:color w:val="222222"/>
                <w:shd w:val="clear" w:color="auto" w:fill="FFFFFF"/>
                <w:vertAlign w:val="superscript"/>
              </w:rPr>
              <w:t>†</w:t>
            </w:r>
          </w:p>
        </w:tc>
      </w:tr>
    </w:tbl>
    <w:bookmarkEnd w:id="2"/>
    <w:p w14:paraId="0DDB3317" w14:textId="77777777" w:rsidR="00260A60" w:rsidRPr="00A95D21" w:rsidRDefault="00260A60" w:rsidP="0086150B">
      <w:pPr>
        <w:spacing w:after="0" w:line="480" w:lineRule="auto"/>
        <w:rPr>
          <w:rFonts w:cs="Helvetica Neue"/>
          <w:lang w:eastAsia="ja-JP"/>
        </w:rPr>
      </w:pPr>
      <w:r w:rsidRPr="00936804">
        <w:rPr>
          <w:rFonts w:cs="Helvetica Neue"/>
          <w:i/>
          <w:iCs/>
          <w:lang w:eastAsia="ja-JP"/>
        </w:rPr>
        <w:t>Note</w:t>
      </w:r>
      <w:r>
        <w:rPr>
          <w:rFonts w:cs="Helvetica Neue"/>
          <w:i/>
          <w:iCs/>
          <w:lang w:eastAsia="ja-JP"/>
        </w:rPr>
        <w:t>.</w:t>
      </w:r>
      <w:r w:rsidRPr="00A95D21">
        <w:rPr>
          <w:rFonts w:cstheme="minorHAnsi"/>
          <w:b/>
          <w:bCs/>
          <w:color w:val="222222"/>
          <w:shd w:val="clear" w:color="auto" w:fill="FFFFFF"/>
          <w:vertAlign w:val="superscript"/>
        </w:rPr>
        <w:t xml:space="preserve"> </w:t>
      </w:r>
      <w:r w:rsidRPr="00665886">
        <w:rPr>
          <w:rFonts w:cstheme="minorHAnsi"/>
          <w:b/>
          <w:bCs/>
          <w:color w:val="222222"/>
          <w:shd w:val="clear" w:color="auto" w:fill="FFFFFF"/>
          <w:vertAlign w:val="superscript"/>
        </w:rPr>
        <w:t>†</w:t>
      </w:r>
      <w:r>
        <w:rPr>
          <w:rFonts w:cstheme="minorHAnsi"/>
          <w:b/>
          <w:bCs/>
          <w:color w:val="222222"/>
          <w:shd w:val="clear" w:color="auto" w:fill="FFFFFF"/>
          <w:vertAlign w:val="superscript"/>
        </w:rPr>
        <w:t xml:space="preserve"> </w:t>
      </w:r>
      <w:r w:rsidRPr="00936804">
        <w:rPr>
          <w:rFonts w:cstheme="minorHAnsi"/>
          <w:b/>
          <w:bCs/>
          <w:color w:val="222222"/>
          <w:shd w:val="clear" w:color="auto" w:fill="FFFFFF"/>
        </w:rPr>
        <w:t xml:space="preserve">= </w:t>
      </w:r>
      <w:r w:rsidRPr="00936804">
        <w:rPr>
          <w:i/>
        </w:rPr>
        <w:t>p</w:t>
      </w:r>
      <w:r>
        <w:t xml:space="preserve"> </w:t>
      </w:r>
      <w:r w:rsidRPr="00936804">
        <w:rPr>
          <w:rFonts w:cstheme="minorHAnsi"/>
          <w:bCs/>
          <w:color w:val="222222"/>
          <w:shd w:val="clear" w:color="auto" w:fill="FFFFFF"/>
        </w:rPr>
        <w:t>&lt; .10</w:t>
      </w:r>
    </w:p>
    <w:p w14:paraId="2D43AC62" w14:textId="0AE47FCF" w:rsidR="00260A60" w:rsidRDefault="00260A60" w:rsidP="00260A60">
      <w:pPr>
        <w:spacing w:after="0" w:line="480" w:lineRule="auto"/>
        <w:ind w:firstLine="720"/>
        <w:rPr>
          <w:rFonts w:cs="Helvetica Neue"/>
          <w:lang w:eastAsia="ja-JP"/>
        </w:rPr>
      </w:pPr>
      <w:r>
        <w:rPr>
          <w:rFonts w:cs="Helvetica Neue"/>
          <w:lang w:eastAsia="ja-JP"/>
        </w:rPr>
        <w:t xml:space="preserve">Because hippocampal tail volumes approached significance (defined by </w:t>
      </w:r>
      <w:r>
        <w:rPr>
          <w:rFonts w:cs="Helvetica Neue"/>
          <w:i/>
          <w:iCs/>
          <w:lang w:eastAsia="ja-JP"/>
        </w:rPr>
        <w:t>p</w:t>
      </w:r>
      <w:r>
        <w:rPr>
          <w:rFonts w:cs="Helvetica Neue"/>
          <w:lang w:eastAsia="ja-JP"/>
        </w:rPr>
        <w:t xml:space="preserve"> &lt; .10), we conducted analyses to determine if there were differences between the hemispheres. Hippocampal tail volumes in the right hemisphere did not show differences between nap status groups, </w:t>
      </w:r>
      <w:r w:rsidRPr="00D37E31">
        <w:rPr>
          <w:rFonts w:cs="Helvetica Neue"/>
          <w:i/>
          <w:lang w:eastAsia="ja-JP"/>
        </w:rPr>
        <w:t>F</w:t>
      </w:r>
      <w:r>
        <w:rPr>
          <w:rFonts w:cs="Helvetica Neue"/>
          <w:lang w:eastAsia="ja-JP"/>
        </w:rPr>
        <w:t xml:space="preserve">(1, 21) = 0.627, </w:t>
      </w:r>
      <w:r>
        <w:rPr>
          <w:rFonts w:cs="Helvetica Neue"/>
          <w:i/>
          <w:iCs/>
          <w:lang w:eastAsia="ja-JP"/>
        </w:rPr>
        <w:t xml:space="preserve">p </w:t>
      </w:r>
      <w:r>
        <w:rPr>
          <w:rFonts w:cs="Helvetica Neue"/>
          <w:lang w:eastAsia="ja-JP"/>
        </w:rPr>
        <w:t xml:space="preserve">= .438. However, hippocampal tail volumes in the left hemisphere did show significant differences between </w:t>
      </w:r>
      <w:r>
        <w:rPr>
          <w:rFonts w:cs="Helvetica Neue"/>
          <w:lang w:eastAsia="ja-JP"/>
        </w:rPr>
        <w:lastRenderedPageBreak/>
        <w:t xml:space="preserve">groups, </w:t>
      </w:r>
      <w:r w:rsidRPr="00D37E31">
        <w:rPr>
          <w:rFonts w:cs="Helvetica Neue"/>
          <w:i/>
          <w:lang w:eastAsia="ja-JP"/>
        </w:rPr>
        <w:t>F</w:t>
      </w:r>
      <w:r>
        <w:rPr>
          <w:rFonts w:cs="Helvetica Neue"/>
          <w:lang w:eastAsia="ja-JP"/>
        </w:rPr>
        <w:t xml:space="preserve">(1, 21) = 8.502, </w:t>
      </w:r>
      <w:r>
        <w:rPr>
          <w:rFonts w:cs="Helvetica Neue"/>
          <w:i/>
          <w:iCs/>
          <w:lang w:eastAsia="ja-JP"/>
        </w:rPr>
        <w:t>p</w:t>
      </w:r>
      <w:r>
        <w:rPr>
          <w:rFonts w:cs="Helvetica Neue"/>
          <w:lang w:eastAsia="ja-JP"/>
        </w:rPr>
        <w:t xml:space="preserve"> &lt; .</w:t>
      </w:r>
      <w:r w:rsidRPr="004847B4">
        <w:rPr>
          <w:rFonts w:cs="Helvetica Neue"/>
          <w:lang w:eastAsia="ja-JP"/>
        </w:rPr>
        <w:t>0</w:t>
      </w:r>
      <w:r w:rsidR="006F0637">
        <w:rPr>
          <w:rFonts w:cs="Helvetica Neue"/>
          <w:lang w:eastAsia="ja-JP"/>
        </w:rPr>
        <w:t>1</w:t>
      </w:r>
      <w:r w:rsidRPr="004847B4">
        <w:rPr>
          <w:rFonts w:cs="Helvetica Neue"/>
          <w:lang w:eastAsia="ja-JP"/>
        </w:rPr>
        <w:t>. Figure 2 illustrates</w:t>
      </w:r>
      <w:r>
        <w:rPr>
          <w:rFonts w:cs="Helvetica Neue"/>
          <w:lang w:eastAsia="ja-JP"/>
        </w:rPr>
        <w:t xml:space="preserve"> volumes in left and right tail. Results specifically showed larger left hippocampal tail volumes in nappers than </w:t>
      </w:r>
      <w:r w:rsidR="00431F85">
        <w:rPr>
          <w:rFonts w:cs="Helvetica Neue"/>
          <w:lang w:eastAsia="ja-JP"/>
        </w:rPr>
        <w:t xml:space="preserve">in </w:t>
      </w:r>
      <w:r>
        <w:rPr>
          <w:rFonts w:cs="Helvetica Neue"/>
          <w:lang w:eastAsia="ja-JP"/>
        </w:rPr>
        <w:t>non-nappers.</w:t>
      </w:r>
    </w:p>
    <w:p w14:paraId="1838F9D4" w14:textId="77777777" w:rsidR="00260A60" w:rsidRDefault="00260A60" w:rsidP="00260A60">
      <w:pPr>
        <w:spacing w:after="0" w:line="480" w:lineRule="auto"/>
        <w:rPr>
          <w:rFonts w:cs="Helvetica Neue"/>
          <w:lang w:eastAsia="ja-JP"/>
        </w:rPr>
      </w:pPr>
      <w:r>
        <w:rPr>
          <w:rFonts w:cs="Helvetica Neue"/>
          <w:b/>
          <w:bCs/>
          <w:lang w:eastAsia="ja-JP"/>
        </w:rPr>
        <w:t>Figure 2</w:t>
      </w:r>
    </w:p>
    <w:p w14:paraId="5CD505C4" w14:textId="77777777" w:rsidR="00260A60" w:rsidRPr="00835D0D" w:rsidRDefault="00260A60" w:rsidP="00260A60">
      <w:pPr>
        <w:spacing w:after="0" w:line="480" w:lineRule="auto"/>
        <w:rPr>
          <w:rFonts w:cs="Helvetica Neue"/>
          <w:i/>
          <w:iCs/>
          <w:lang w:eastAsia="ja-JP"/>
        </w:rPr>
      </w:pPr>
      <w:r>
        <w:rPr>
          <w:rFonts w:cs="Helvetica Neue"/>
          <w:i/>
          <w:iCs/>
          <w:lang w:eastAsia="ja-JP"/>
        </w:rPr>
        <w:t>H</w:t>
      </w:r>
      <w:r w:rsidRPr="00835D0D">
        <w:rPr>
          <w:rFonts w:cs="Helvetica Neue"/>
          <w:i/>
          <w:iCs/>
          <w:lang w:eastAsia="ja-JP"/>
        </w:rPr>
        <w:t>ippocampal tail volumes between left and right hemispheres in nappers versus non-nappers</w:t>
      </w:r>
    </w:p>
    <w:p w14:paraId="734B228A" w14:textId="64653DB5" w:rsidR="00260A60" w:rsidRDefault="00D01B8E" w:rsidP="00260A60">
      <w:pPr>
        <w:spacing w:after="0" w:line="480" w:lineRule="auto"/>
        <w:jc w:val="center"/>
        <w:rPr>
          <w:rFonts w:cs="Helvetica Neue"/>
          <w:lang w:eastAsia="ja-JP"/>
        </w:rPr>
      </w:pPr>
      <w:r w:rsidRPr="00D01B8E">
        <w:rPr>
          <w:rFonts w:cs="Helvetica Neue"/>
          <w:noProof/>
          <w:lang w:eastAsia="ja-JP"/>
        </w:rPr>
        <w:drawing>
          <wp:inline distT="0" distB="0" distL="0" distR="0" wp14:anchorId="1AFD255E" wp14:editId="485C27F3">
            <wp:extent cx="5384800" cy="3503572"/>
            <wp:effectExtent l="0" t="0" r="6350" b="1905"/>
            <wp:docPr id="6" name="Picture 5">
              <a:extLst xmlns:a="http://schemas.openxmlformats.org/drawingml/2006/main">
                <a:ext uri="{FF2B5EF4-FFF2-40B4-BE49-F238E27FC236}">
                  <a16:creationId xmlns:a16="http://schemas.microsoft.com/office/drawing/2014/main" id="{F9C42325-791B-443B-B62E-95DA2AE3F5D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F9C42325-791B-443B-B62E-95DA2AE3F5D8}"/>
                        </a:ext>
                      </a:extLst>
                    </pic:cNvPr>
                    <pic:cNvPicPr>
                      <a:picLocks noChangeAspect="1"/>
                    </pic:cNvPicPr>
                  </pic:nvPicPr>
                  <pic:blipFill rotWithShape="1">
                    <a:blip r:embed="rId9"/>
                    <a:srcRect l="23828" t="14130" r="13357" b="13207"/>
                    <a:stretch/>
                  </pic:blipFill>
                  <pic:spPr bwMode="auto">
                    <a:xfrm>
                      <a:off x="0" y="0"/>
                      <a:ext cx="5391585" cy="3507986"/>
                    </a:xfrm>
                    <a:prstGeom prst="rect">
                      <a:avLst/>
                    </a:prstGeom>
                    <a:ln>
                      <a:noFill/>
                    </a:ln>
                    <a:extLst>
                      <a:ext uri="{53640926-AAD7-44D8-BBD7-CCE9431645EC}">
                        <a14:shadowObscured xmlns:a14="http://schemas.microsoft.com/office/drawing/2010/main"/>
                      </a:ext>
                    </a:extLst>
                  </pic:spPr>
                </pic:pic>
              </a:graphicData>
            </a:graphic>
          </wp:inline>
        </w:drawing>
      </w:r>
    </w:p>
    <w:p w14:paraId="7B4075F7" w14:textId="77777777" w:rsidR="00404E60" w:rsidRDefault="00404E60" w:rsidP="000C556A">
      <w:pPr>
        <w:spacing w:after="0" w:line="480" w:lineRule="auto"/>
        <w:jc w:val="center"/>
        <w:rPr>
          <w:b/>
          <w:bCs/>
        </w:rPr>
      </w:pPr>
    </w:p>
    <w:p w14:paraId="73F54CCB" w14:textId="10DFF82C" w:rsidR="006C3223" w:rsidRPr="00371668" w:rsidRDefault="006C3223" w:rsidP="000C556A">
      <w:pPr>
        <w:spacing w:after="0" w:line="480" w:lineRule="auto"/>
        <w:jc w:val="center"/>
        <w:rPr>
          <w:b/>
          <w:bCs/>
        </w:rPr>
      </w:pPr>
      <w:r>
        <w:rPr>
          <w:b/>
          <w:bCs/>
        </w:rPr>
        <w:t>Discussion</w:t>
      </w:r>
    </w:p>
    <w:p w14:paraId="21B56117" w14:textId="73D265B1" w:rsidR="0074035F" w:rsidRDefault="0074035F" w:rsidP="0074035F">
      <w:pPr>
        <w:spacing w:after="0" w:line="480" w:lineRule="auto"/>
        <w:ind w:firstLine="720"/>
      </w:pPr>
      <w:r>
        <w:t>The goal of this study was to investigate differences in hippocampal structure between habitually napping and non-</w:t>
      </w:r>
      <w:r w:rsidR="001E7DDB">
        <w:t xml:space="preserve">habitually </w:t>
      </w:r>
      <w:r>
        <w:t>napping preschool children. Results showed marginally significant differences in bilateral hippocampal tail volumes. Follow-up analyses revealed significant differences in left hippocampal tail volumes. Specifically, in the left hemisphere, volumes of the hippocampal tail were larger in nappers than in non-nappers. This difference was observed despite the fact there were no differences in ICV overall.</w:t>
      </w:r>
      <w:r w:rsidRPr="00FE6F7C">
        <w:t xml:space="preserve"> </w:t>
      </w:r>
      <w:r>
        <w:t xml:space="preserve">We expect these results are due to the hippocampus’ role in memory, and this </w:t>
      </w:r>
      <w:r>
        <w:lastRenderedPageBreak/>
        <w:t>specificity may relate to the fact that the hippocampus is an important neural component for memory</w:t>
      </w:r>
      <w:r w:rsidRPr="00506CDD">
        <w:t xml:space="preserve"> </w:t>
      </w:r>
      <w:r>
        <w:t>that changes as children develop.</w:t>
      </w:r>
    </w:p>
    <w:p w14:paraId="465A689A" w14:textId="77777777" w:rsidR="0074035F" w:rsidRDefault="0074035F" w:rsidP="0074035F">
      <w:pPr>
        <w:spacing w:after="0" w:line="480" w:lineRule="auto"/>
      </w:pPr>
      <w:r>
        <w:t xml:space="preserve"> </w:t>
      </w:r>
      <w:r>
        <w:tab/>
      </w:r>
      <w:bookmarkStart w:id="3" w:name="_Hlk38536135"/>
      <w:r>
        <w:t xml:space="preserve">These findings are consistent with the current literature that suggests children may phase out of their naps because of specific brain maturation </w:t>
      </w:r>
      <w:r>
        <w:fldChar w:fldCharType="begin" w:fldLock="1"/>
      </w:r>
      <w:r>
        <w:instrText>ADDIN CSL_CITATION {"citationItems":[{"id":"ITEM-1","itemData":{"DOI":"10.1097/DBP.0b013e318207ecc7","ISSN":"0196206X","abstract":"OBJECTIVE: To determine the relationship between napping and cognitive function in preschool-aged children. METHODS: Daytime napping, nighttime sleep, and cognitive function were assessed in 59 typically developing children aged 3 to 5 years, who were enrolled in full-time childcare. Participants wore an actigraphy watch for 7 days to measure sleep and napping patterns and completed neuropsychological testing emphasizing attention, response control, and vocabulary. Parents of participants completed behavior ratings and sleep logs during the study. Sleep/wake cycles were scored with the Sadeh algorithm. RESULTS: Children who napped more on weekdays were also more likely to nap during weekends. Weekday napping and nighttime sleep were inversely correlated, such that those who napped more slept less at night, although total weekday sleep remained relatively constant. Weekday napping was significantly (negatively) correlated with vocabulary and auditory attention span, and weekday nighttime sleep was positively correlated with vocabulary. Nighttime sleep was also significantly negatively correlated with performance, such that those who slept less at night made more impulsive errors on a computerized go/no-go test. CONCLUSIONS: Daytime napping is actually negatively correlated with neurocognitive function in preschoolers. Nighttime sleep seems to be more critical for development of cognitive performance. Cessation of napping may serve as a developmental milestone of brain maturation. Children who nap less do not appear to be sleep deprived, especially if they compensate with increased nighttime sleep. An alternative explanation is that children who sleep less at night are sleep deprived and require a nap. A randomized trial of nap restriction would be the next step in understanding the relationship between napping and neurocognitive performance. © 2011 Lippincott Williams &amp; Wilkins.","author":[{"dropping-particle":"","family":"Lam","given":"Janet C.","non-dropping-particle":"","parse-names":false,"suffix":""},{"dropping-particle":"","family":"Mahone","given":"E. Mark","non-dropping-particle":"","parse-names":false,"suffix":""},{"dropping-particle":"","family":"Mason","given":"Thornton","non-dropping-particle":"","parse-names":false,"suffix":""},{"dropping-particle":"","family":"Scharf","given":"Steven M.","non-dropping-particle":"","parse-names":false,"suffix":""}],"container-title":"Journal of Developmental and Behavioral Pediatrics","id":"ITEM-1","issued":{"date-parts":[["2011"]]},"title":"The effects of napping on cognitive function in preschoolers","type":"article-journal"},"uris":["http://www.mendeley.com/documents/?uuid=96387177-4f11-4370-b430-f1055f48668b"]}],"mendeley":{"formattedCitation":"(Lam et al., 2011)","plainTextFormattedCitation":"(Lam et al., 2011)","previouslyFormattedCitation":"(Lam et al., 2011)"},"properties":{"noteIndex":0},"schema":"https://github.com/citation-style-language/schema/raw/master/csl-citation.json"}</w:instrText>
      </w:r>
      <w:r>
        <w:fldChar w:fldCharType="separate"/>
      </w:r>
      <w:r w:rsidRPr="00554486">
        <w:rPr>
          <w:noProof/>
        </w:rPr>
        <w:t>(Lam et al., 2011)</w:t>
      </w:r>
      <w:r>
        <w:fldChar w:fldCharType="end"/>
      </w:r>
      <w:r>
        <w:t>.</w:t>
      </w:r>
      <w:bookmarkEnd w:id="3"/>
      <w:r>
        <w:t xml:space="preserve"> As suggested by </w:t>
      </w:r>
      <w:r>
        <w:fldChar w:fldCharType="begin" w:fldLock="1"/>
      </w:r>
      <w:r>
        <w:instrText>ADDIN CSL_CITATION {"citationItems":[{"id":"ITEM-1","itemData":{"DOI":"10.1073/pnas.1306418110","ISSN":"00278424 10916490","abstract":"Despite the fact that midday naps are characteristic of early childhood, very little is understood about the structure and function of these sleep bouts. Given that sleep benefits memory in young adults, it is possible that naps serve a similar function for young children. However, children transition from biphasic to monophasic sleep patterns in early childhood, eliminating the nap from their daily sleep schedule. As such, naps may contain mostly light sleep stages and serve little function for learning and memory during this transitional age. Lacking scientific understanding of the function of naps in early childhood, policy makers may eliminate preschool classroom nap opportunities due to increasing curriculum demands. Here we show evidence that classroom naps support learning in preschool children by enhancing memories acquired earlier in the day compared with equivalent intervals spent awake. This nap benefit is greatest for children who nap habitually, regardless of age. Performance losses when nap-deprived are not recovered during subsequent overnight sleep. Physiological recordings of naps support a role of sleep spindles in memory performance. These results suggest that distributed sleep is critical in early learning; when short-term memory stores are limited, memory consolidation must take place frequently.","author":[{"dropping-particle":"","family":"Kurdziel","given":"L.","non-dropping-particle":"","parse-names":false,"suffix":""},{"dropping-particle":"","family":"Duclos","given":"K.","non-dropping-particle":"","parse-names":false,"suffix":""},{"dropping-particle":"","family":"Spencer","given":"R.M.C.","non-dropping-particle":"","parse-names":false,"suffix":""}],"container-title":"Proceedings of the National Academy of Sciences of the United States of America","id":"ITEM-1","issue":"43","issued":{"date-parts":[["2013"]]},"page":"17267-17272","title":"Sleep spindles in midday naps enhance learning in preschool children","type":"article-journal","volume":"110"},"uris":["http://www.mendeley.com/documents/?uuid=1c991f1b-9645-4348-9574-76b42eee34f2"]}],"mendeley":{"formattedCitation":"(Kurdziel et al., 2013)","manualFormatting":"Kurdziel et al. (2013)","plainTextFormattedCitation":"(Kurdziel et al., 2013)","previouslyFormattedCitation":"(Kurdziel et al., 2013)"},"properties":{"noteIndex":0},"schema":"https://github.com/citation-style-language/schema/raw/master/csl-citation.json"}</w:instrText>
      </w:r>
      <w:r>
        <w:fldChar w:fldCharType="separate"/>
      </w:r>
      <w:r w:rsidRPr="00904138">
        <w:rPr>
          <w:noProof/>
        </w:rPr>
        <w:t xml:space="preserve">Kurdziel et al. </w:t>
      </w:r>
      <w:r>
        <w:rPr>
          <w:noProof/>
        </w:rPr>
        <w:t>(</w:t>
      </w:r>
      <w:r w:rsidRPr="00904138">
        <w:rPr>
          <w:noProof/>
        </w:rPr>
        <w:t>2013)</w:t>
      </w:r>
      <w:r>
        <w:fldChar w:fldCharType="end"/>
      </w:r>
      <w:r>
        <w:t>, the transition from napper to non-napper takes place because children need distributed sleep during early learning to successfully consolidate memories, and that is no longer the case past a certain point of development. This alignment of neural and behavioral findings (hippocampal and memory, respectively) is consistent with the present findings and is promising for future research into hippocampal structure and function. Additionally, we are motivated to understand the underlying causes of why children nap and what changes when they stop napping. This transition does not occur at the same time for every child, though it does typically happen during early childhood, but we do believe it is an important development milestone. Structure lends itself to function, and these finding implicate the hippocampus as a memory-consolidation structure that is at least partially responsible for the change in function.</w:t>
      </w:r>
    </w:p>
    <w:p w14:paraId="156BAD18" w14:textId="57C782CA" w:rsidR="0074035F" w:rsidRDefault="0074035F" w:rsidP="0074035F">
      <w:pPr>
        <w:spacing w:after="0" w:line="480" w:lineRule="auto"/>
        <w:ind w:firstLine="720"/>
      </w:pPr>
      <w:r>
        <w:t xml:space="preserve">In the present study, hippocampal volumes were larger in nappers compared to non-nappers. This volumetric difference may imply differences in brain maturation between the groups. Though we expected hippocampal volume differences between groups, we only found differences in the tail of the hippocampus. Though this finding seems counterintuitive, that earlier developmental stages should have larger volumes, it has been suggested in the literature that bigger is not always better </w:t>
      </w:r>
      <w:r>
        <w:fldChar w:fldCharType="begin" w:fldLock="1"/>
      </w:r>
      <w:r>
        <w:instrText>ADDIN CSL_CITATION {"citationItems":[{"id":"ITEM-1","itemData":{"DOI":"10.1016/j.neuropsychologia.2004.04.006","ISSN":"00283932","PMID":"15193947","abstract":"Poor memory ability and small hippocampal volume measurements in magnetic resonance images co-occur in neurological patients. Numerous studies have examined the relationship between memory performance and hippocampal volumes in participants without neurological or psychiatric disorders, with widely varying results. Three hypotheses about volume-memory relationships in the normal human brain are discussed: \"bigger is always better\", a neuropsychological view that volume decreases due to normal aging are accompanied by memory decline, and a developmental perspective that regressive events in development may result in negative correlations between hippocampal volume and memory ability. Meta-analysis of results from 33 studies led to little support for the bigger-is-better hypothesis. A negative relationship between hippocampal volume and memory (smaller is better) was significant for studies with children, adolescents, and young adults. For studies with older adults, the most striking observation was extreme variability: the evidence for a positive relationship between hippocampal size and episodic memory ability in older adults was surprisingly weak. Some of the variability in results from older adults was associated with statistical methods of normalizing for age and head size, which are discussed. © 2004 Elsevier Ltd. All rights reserved.","author":[{"dropping-particle":"","family":"Petten","given":"Cyma","non-dropping-particle":"Van","parse-names":false,"suffix":""}],"container-title":"Neuropsychologia","id":"ITEM-1","issued":{"date-parts":[["2004"]]},"title":"Relationship between hippocampal volume and memory ability in healthy individuals across the lifespan: Review and meta-analysis","type":"article"},"uris":["http://www.mendeley.com/documents/?uuid=5e01ae9e-5ae3-413f-a0e8-c7ef2d8f7da7"]}],"mendeley":{"formattedCitation":"(Van Petten, 2004)","plainTextFormattedCitation":"(Van Petten, 2004)","previouslyFormattedCitation":"(Van Petten, 2004)"},"properties":{"noteIndex":0},"schema":"https://github.com/citation-style-language/schema/raw/master/csl-citation.json"}</w:instrText>
      </w:r>
      <w:r>
        <w:fldChar w:fldCharType="separate"/>
      </w:r>
      <w:r w:rsidRPr="000129E7">
        <w:rPr>
          <w:noProof/>
        </w:rPr>
        <w:t>(Van Petten, 2004)</w:t>
      </w:r>
      <w:r>
        <w:fldChar w:fldCharType="end"/>
      </w:r>
      <w:r>
        <w:t xml:space="preserve">. For example, during development, smaller hippocampal volumes have been related to better memory performance </w:t>
      </w:r>
      <w:r>
        <w:fldChar w:fldCharType="begin" w:fldLock="1"/>
      </w:r>
      <w:r>
        <w:instrText>ADDIN CSL_CITATION {"citationItems":[{"id":"ITEM-1","itemData":{"DOI":"10.1016/j.neuroimage.2018.03.009","ISSN":"10959572","abstract":"The hippocampus is a structure that is critical for memory. Previous studies have shown that age-related differences in specialization along the longitudinal axis of this structure (i.e., subregions) and within its internal circuitry (i.e., subfields) relate to age-related improvements in memory in school-age children and adults. However, the influence of age on hippocampal development and its relations with memory ability earlier in life remains under-investigated. This study examined effects of age and sex on hippocampal subregion (i.e., head, body, tail) and subfield (i.e., subiculum, CA1, CA2-4/DG) volumes, and their relations with memory, using a large sample of 4- to 8-year-old children. Results examining hippocampal subregions suggest influences of both age and sex on the hippocampal head during early childhood. Results examining subfields within hippocampal head suggest these age effects may arise from CA1, whereas sex differences may arise from subiculum and CA2-4/DG. Memory ability was not associated with hippocampal subregion volume but was associated with subfield volume. Specifically, within the hippocampal head, relations between memory and CA1 were moderated by age; in younger children bigger was better, whereas in older children smaller was superior. Within the hippocampal body, smaller CA1 and larger CA2-4/DG contributed to better memory performance across all ages. Together, these results shed light on hippocampal development during early childhood and support claims that the prolonged developmental trajectory of the hippocampus contributes to memory development early in life.","author":[{"dropping-particle":"","family":"Riggins","given":"Tracy","non-dropping-particle":"","parse-names":false,"suffix":""},{"dropping-particle":"","family":"Geng","given":"Fengji","non-dropping-particle":"","parse-names":false,"suffix":""},{"dropping-particle":"","family":"Botdorf","given":"Morgan","non-dropping-particle":"","parse-names":false,"suffix":""},{"dropping-particle":"","family":"Canada","given":"Kelsey","non-dropping-particle":"","parse-names":false,"suffix":""},{"dropping-particle":"","family":"Cox","given":"Lisa","non-dropping-particle":"","parse-names":false,"suffix":""},{"dropping-particle":"","family":"Hancock","given":"Gregory R.","non-dropping-particle":"","parse-names":false,"suffix":""}],"container-title":"NeuroImage","id":"ITEM-1","issued":{"date-parts":[["2018"]]},"title":"Protracted hippocampal development is associated with age-related improvements in memory during early childhood","type":"article-journal"},"uris":["http://www.mendeley.com/documents/?uuid=f63e5d24-9591-407f-9688-ee2a09fd924b"]}],"mendeley":{"formattedCitation":"(Riggins et al., 2018)","plainTextFormattedCitation":"(Riggins et al., 2018)","previouslyFormattedCitation":"(Riggins et al., 2018)"},"properties":{"noteIndex":0},"schema":"https://github.com/citation-style-language/schema/raw/master/csl-citation.json"}</w:instrText>
      </w:r>
      <w:r>
        <w:fldChar w:fldCharType="separate"/>
      </w:r>
      <w:r w:rsidRPr="000129E7">
        <w:rPr>
          <w:noProof/>
        </w:rPr>
        <w:t>(Riggins et al., 2018)</w:t>
      </w:r>
      <w:r>
        <w:fldChar w:fldCharType="end"/>
      </w:r>
      <w:r>
        <w:t xml:space="preserve">. It is unclear why the differences were observed in the tail and not the head or body, but the tail (posterior hippocampus) has </w:t>
      </w:r>
      <w:r w:rsidR="00E01F64">
        <w:t xml:space="preserve">previously </w:t>
      </w:r>
      <w:r>
        <w:t xml:space="preserve">been related to memory in children </w:t>
      </w:r>
      <w:r>
        <w:fldChar w:fldCharType="begin" w:fldLock="1"/>
      </w:r>
      <w:r>
        <w:instrText>ADDIN CSL_CITATION {"citationItems":[{"id":"ITEM-1","itemData":{"DOI":"10.1016/j.cortex.2012.08.004","ISSN":"00109452","abstract":"Episodic memory, or the ability to form and retrieve conscious memories about specific past events, improves during childhood. Previous adult neuroimaging results indicate a central role of the hippocampus in episodic retrieval, but it is not clear whether the contribution of the hippocampus changes during development. Traditionally, developmental improvements in episodic retrieval have been thought to depend on strategic processes mediated by the prefrontal cortex (PFC), a region that is considered to have a protracted course of development relative to the hippocampus. The primary goal of the present study was to test the hypothesis that the development of episodic retrieval is also associated with changes in hippocampal function. Children ages 8- to 11-years-old and adults ages 18-25 (N = 41) encoded black and white line drawings surrounded by either a green or red border. Functional magnetic resonance imaging (fMRI) data were acquired while participants attempted to recall which colour was originally paired with each drawing. Correct recall of item-colour pairings indicated successful episodic retrieval. Activity in the anterior hippocampus, but not in the posterior hippocampus, was associated with episodic retrieval in adults, whereas activity in the posterior, but not in the anterior hippocampus, was associated with episodic retrieval in children. Developmental differences were also found in regions in anterior lateral PFC and posterior parietal cortex. Overall, these results support the view that the development of episodic memory is supported by functional changes in the hippocampus as well as in other critical cortical regions. © 2012 Elsevier Ltd.","author":[{"dropping-particle":"","family":"DeMaster","given":"Dana M.","non-dropping-particle":"","parse-names":false,"suffix":""},{"dropping-particle":"","family":"Ghetti","given":"Simona","non-dropping-particle":"","parse-names":false,"suffix":""}],"container-title":"Cortex","id":"ITEM-1","issued":{"date-parts":[["2013"]]},"title":"Developmental differences in hippocampal and cortical contributions to episodic retrieval","type":"article-journal"},"uris":["http://www.mendeley.com/documents/?uuid=25fc35c0-8011-4f80-8346-c53480fe0fd8"]}],"mendeley":{"formattedCitation":"(DeMaster &amp; Ghetti, 2013)","plainTextFormattedCitation":"(DeMaster &amp; Ghetti, 2013)","previouslyFormattedCitation":"(DeMaster &amp; Ghetti, 2013)"},"properties":{"noteIndex":0},"schema":"https://github.com/citation-style-language/schema/raw/master/csl-citation.json"}</w:instrText>
      </w:r>
      <w:r>
        <w:fldChar w:fldCharType="separate"/>
      </w:r>
      <w:r w:rsidRPr="000129E7">
        <w:rPr>
          <w:noProof/>
        </w:rPr>
        <w:t>(DeMaster &amp; Ghetti, 2013)</w:t>
      </w:r>
      <w:r>
        <w:fldChar w:fldCharType="end"/>
      </w:r>
      <w:r>
        <w:t>.</w:t>
      </w:r>
    </w:p>
    <w:p w14:paraId="5EDC40B1" w14:textId="77777777" w:rsidR="0074035F" w:rsidRDefault="0074035F" w:rsidP="0074035F">
      <w:pPr>
        <w:spacing w:after="0" w:line="480" w:lineRule="auto"/>
      </w:pPr>
      <w:r>
        <w:tab/>
        <w:t>Overall, the present study suggests relations may exist between the transition out of napping and brain development. Specifically, hippocampal volumes differed between habitual nappers and non-</w:t>
      </w:r>
      <w:r>
        <w:lastRenderedPageBreak/>
        <w:t>nappers. This may have implications for memory development, as sleep has been related to the consolidation of memories. It is possible that structural changes in the hippocampus relate to a developmental change in memory consolidation processes and in napping behavior. Additionally, this has implications for research moving forward in the field, as well as for policymaking concerning nap lengths in pre-schools and daycares.</w:t>
      </w:r>
    </w:p>
    <w:p w14:paraId="42AAB160" w14:textId="44919D85" w:rsidR="0074035F" w:rsidRDefault="0074035F" w:rsidP="0074035F">
      <w:pPr>
        <w:spacing w:after="0" w:line="480" w:lineRule="auto"/>
        <w:ind w:firstLine="720"/>
      </w:pPr>
      <w:r>
        <w:t xml:space="preserve">There are several limitations to the present study. First, our sample size is small (N = 21). Second, the results do not survive </w:t>
      </w:r>
      <w:r w:rsidRPr="008326D3">
        <w:t>correction for multiple comparisons</w:t>
      </w:r>
      <w:r>
        <w:t>. Third, we were not able to distinguish semi-nappers as a third group in the analyses (due to low numbers of participants that qualified), which may have additionally lessened the effects. Fourth, the nap status variable of napper or non-napper had some limitations – as this itself is a “moving target</w:t>
      </w:r>
      <w:r w:rsidR="00B36B76">
        <w:t>.”</w:t>
      </w:r>
      <w:r>
        <w:t xml:space="preserve"> The process of determining a participant’s nap status was dependent on the parent or guardian having completed the questionnaires they were given at multiple points during each Wave of data collection spanning 3 or more weeks. Because of this variation, determining nap status was not always clear. However, despite these limitations, this study is a critical piece of understanding how sleep, memory, and the brain relate to each other. Much of the current literature that describes neural effects related to memory do not use MRI data </w:t>
      </w:r>
      <w:r>
        <w:fldChar w:fldCharType="begin" w:fldLock="1"/>
      </w:r>
      <w:r>
        <w:instrText>ADDIN CSL_CITATION {"citationItems":[{"id":"ITEM-1","itemData":{"DOI":"10.1097/DBP.0b013e318207ecc7","ISSN":"0196206X","abstract":"OBJECTIVE: To determine the relationship between napping and cognitive function in preschool-aged children. METHODS: Daytime napping, nighttime sleep, and cognitive function were assessed in 59 typically developing children aged 3 to 5 years, who were enrolled in full-time childcare. Participants wore an actigraphy watch for 7 days to measure sleep and napping patterns and completed neuropsychological testing emphasizing attention, response control, and vocabulary. Parents of participants completed behavior ratings and sleep logs during the study. Sleep/wake cycles were scored with the Sadeh algorithm. RESULTS: Children who napped more on weekdays were also more likely to nap during weekends. Weekday napping and nighttime sleep were inversely correlated, such that those who napped more slept less at night, although total weekday sleep remained relatively constant. Weekday napping was significantly (negatively) correlated with vocabulary and auditory attention span, and weekday nighttime sleep was positively correlated with vocabulary. Nighttime sleep was also significantly negatively correlated with performance, such that those who slept less at night made more impulsive errors on a computerized go/no-go test. CONCLUSIONS: Daytime napping is actually negatively correlated with neurocognitive function in preschoolers. Nighttime sleep seems to be more critical for development of cognitive performance. Cessation of napping may serve as a developmental milestone of brain maturation. Children who nap less do not appear to be sleep deprived, especially if they compensate with increased nighttime sleep. An alternative explanation is that children who sleep less at night are sleep deprived and require a nap. A randomized trial of nap restriction would be the next step in understanding the relationship between napping and neurocognitive performance. © 2011 Lippincott Williams &amp; Wilkins.","author":[{"dropping-particle":"","family":"Lam","given":"Janet C.","non-dropping-particle":"","parse-names":false,"suffix":""},{"dropping-particle":"","family":"Mahone","given":"E. Mark","non-dropping-particle":"","parse-names":false,"suffix":""},{"dropping-particle":"","family":"Mason","given":"Thornton","non-dropping-particle":"","parse-names":false,"suffix":""},{"dropping-particle":"","family":"Scharf","given":"Steven M.","non-dropping-particle":"","parse-names":false,"suffix":""}],"container-title":"Journal of Developmental and Behavioral Pediatrics","id":"ITEM-1","issued":{"date-parts":[["2011"]]},"title":"The effects of napping on cognitive function in preschoolers","type":"article-journal"},"uris":["http://www.mendeley.com/documents/?uuid=96387177-4f11-4370-b430-f1055f48668b"]}],"mendeley":{"formattedCitation":"(Lam et al., 2011)","plainTextFormattedCitation":"(Lam et al., 2011)"},"properties":{"noteIndex":0},"schema":"https://github.com/citation-style-language/schema/raw/master/csl-citation.json"}</w:instrText>
      </w:r>
      <w:r>
        <w:fldChar w:fldCharType="separate"/>
      </w:r>
      <w:r w:rsidRPr="00392205">
        <w:rPr>
          <w:noProof/>
        </w:rPr>
        <w:t>(Lam et al., 2011)</w:t>
      </w:r>
      <w:r>
        <w:fldChar w:fldCharType="end"/>
      </w:r>
      <w:r>
        <w:t>. MRI data collection is difficult to obtain and is a major strength of this study. Because we have physical brain data, we can observe the physical differences without making assumptions.</w:t>
      </w:r>
    </w:p>
    <w:p w14:paraId="29637902" w14:textId="4F41068E" w:rsidR="0074035F" w:rsidRDefault="0074035F" w:rsidP="0074035F">
      <w:pPr>
        <w:spacing w:after="0" w:line="480" w:lineRule="auto"/>
        <w:ind w:firstLine="720"/>
      </w:pPr>
      <w:bookmarkStart w:id="4" w:name="_Hlk38537835"/>
      <w:r>
        <w:t xml:space="preserve">These results are promising for future investigations into the structural changes of the hippocampus. They implicate neural changes that occur during the transition of habitually napping to no longer habitually napping. With such small effects, it would be worthwhile to analyze smaller structures within the hippocampus. </w:t>
      </w:r>
      <w:r w:rsidR="00B268A4">
        <w:t>Hippocampal subfields, for example (</w:t>
      </w:r>
      <w:r>
        <w:t>CA</w:t>
      </w:r>
      <w:r w:rsidR="00B268A4">
        <w:t>1-4,</w:t>
      </w:r>
      <w:r>
        <w:t xml:space="preserve"> the dentate gyrus, and the subiculum</w:t>
      </w:r>
      <w:r w:rsidR="00B268A4">
        <w:t xml:space="preserve">), </w:t>
      </w:r>
      <w:r>
        <w:t xml:space="preserve">are so small that MRI scans with magnetic fields lower than 3T cannot detect small volume differences within the subfields </w:t>
      </w:r>
      <w:r>
        <w:fldChar w:fldCharType="begin" w:fldLock="1"/>
      </w:r>
      <w:r>
        <w:instrText>ADDIN CSL_CITATION {"citationItems":[{"id":"ITEM-1","itemData":{"DOI":"10.1002/hipo.22717","ISSN":"10981063","abstract":"The hippocampus is one of the most interesting and studied brain regions because of its involvement in memory functions and its vulnerability in pathological conditions, such as neurodegenerative processes. In the recent years, the increasing availability of Magnetic Resonance Imaging (MRI) scanners that operate at ultra-high field (UHF), that is, with static magnetic field strength ≥7T, has opened new research perspectives. Compared to conventional high-field scanners, these systems can provide new contrasts, increased signal-to-noise ratio and higher spatial resolution, thus they may improve the visualization of very small structures of the brain, such as the hippocampal subfields. Studying the morphometry of the hippocampus is crucial in neuroimaging research because changes in volume and thickness of hippocampal subregions may be relevant in the early assessment of pathological cognitive decline and Alzheimer's Disease (AD). The present review provides an overview of the manual, semi-automated and fully automated methods that allow the assessment of hippocampal subfield morphometry at UHF MRI, focusing on the different hippocampal segmentation produced. © 2017 Wiley Periodicals, Inc.","author":[{"dropping-particle":"","family":"Giuliano","given":"Alessia","non-dropping-particle":"","parse-names":false,"suffix":""},{"dropping-particle":"","family":"Donatelli","given":"Graziella","non-dropping-particle":"","parse-names":false,"suffix":""},{"dropping-particle":"","family":"Cosottini","given":"Mirco","non-dropping-particle":"","parse-names":false,"suffix":""},{"dropping-particle":"","family":"Tosetti","given":"Michela","non-dropping-particle":"","parse-names":false,"suffix":""},{"dropping-particle":"","family":"Retico","given":"Alessandra","non-dropping-particle":"","parse-names":false,"suffix":""},{"dropping-particle":"","family":"Fantacci","given":"Maria Evelina","non-dropping-particle":"","parse-names":false,"suffix":""}],"container-title":"Hippocampus","id":"ITEM-1","issued":{"date-parts":[["2017"]]},"title":"Hippocampal subfields at ultra high field MRI: An overview of segmentation and measurement methods","type":"article-journal"},"uris":["http://www.mendeley.com/documents/?uuid=920368fb-d191-4375-9108-444ccda1ee8b"]}],"mendeley":{"formattedCitation":"(Giuliano et al., 2017)","plainTextFormattedCitation":"(Giuliano et al., 2017)","previouslyFormattedCitation":"(Giuliano et al., 2017)"},"properties":{"noteIndex":0},"schema":"https://github.com/citation-style-language/schema/raw/master/csl-citation.json"}</w:instrText>
      </w:r>
      <w:r>
        <w:fldChar w:fldCharType="separate"/>
      </w:r>
      <w:r w:rsidRPr="00F7634A">
        <w:rPr>
          <w:noProof/>
        </w:rPr>
        <w:t>(Giuliano et al., 2017)</w:t>
      </w:r>
      <w:r>
        <w:fldChar w:fldCharType="end"/>
      </w:r>
      <w:r>
        <w:t xml:space="preserve">. Because the subfields are smaller defined areas </w:t>
      </w:r>
      <w:r>
        <w:lastRenderedPageBreak/>
        <w:t xml:space="preserve">than the subregions of head, body, and tail, it would be interesting to analyze based on subfields instead of the subregions used in this study. In addition to possible subfield analyses, future investigations could examine the relation between memory and measures of cortical maturation such as cortical thickness. This approach would, instead of focusing specifically on the hippocampus, examine the brain on a larger scale and give insight to underlying neural structure that supports relations between sleep and memory during development. </w:t>
      </w:r>
    </w:p>
    <w:p w14:paraId="3B69C0CD" w14:textId="47F28F49" w:rsidR="00945C63" w:rsidRDefault="0074035F" w:rsidP="0074035F">
      <w:pPr>
        <w:spacing w:after="0" w:line="480" w:lineRule="auto"/>
        <w:ind w:firstLine="720"/>
      </w:pPr>
      <w:r>
        <w:t>Overall, the goal of this and future research is to fully understand the relationship of these results to sleep and memory, as well as the function of the hippocampus. This study is the first to examine hippocampal differences between nappers and non-nappers during early childhood. As such, it is valuable to continue to investigate in a similar fashion using a larger sample size and to strive to understand the hippocampus and the specificity of these effects.</w:t>
      </w:r>
      <w:bookmarkEnd w:id="4"/>
      <w:r w:rsidR="00945C63">
        <w:br w:type="page"/>
      </w:r>
    </w:p>
    <w:p w14:paraId="6A71D7F5" w14:textId="58A7AC4F" w:rsidR="00945C63" w:rsidRDefault="00945C63" w:rsidP="000C556A">
      <w:pPr>
        <w:spacing w:after="0" w:line="480" w:lineRule="auto"/>
        <w:jc w:val="center"/>
        <w:rPr>
          <w:b/>
          <w:bCs/>
        </w:rPr>
      </w:pPr>
      <w:r>
        <w:rPr>
          <w:b/>
          <w:bCs/>
        </w:rPr>
        <w:lastRenderedPageBreak/>
        <w:t>References</w:t>
      </w:r>
    </w:p>
    <w:p w14:paraId="00F9B4FC" w14:textId="50054031" w:rsidR="00D70151" w:rsidRPr="00D70151" w:rsidRDefault="00945C63" w:rsidP="00D70151">
      <w:pPr>
        <w:widowControl w:val="0"/>
        <w:autoSpaceDE w:val="0"/>
        <w:autoSpaceDN w:val="0"/>
        <w:adjustRightInd w:val="0"/>
        <w:spacing w:after="0" w:line="480" w:lineRule="auto"/>
        <w:ind w:left="480" w:hanging="480"/>
        <w:rPr>
          <w:rFonts w:ascii="Calibri" w:hAnsi="Calibri" w:cs="Calibri"/>
          <w:noProof/>
          <w:szCs w:val="24"/>
        </w:rPr>
      </w:pPr>
      <w:r>
        <w:fldChar w:fldCharType="begin" w:fldLock="1"/>
      </w:r>
      <w:r>
        <w:instrText xml:space="preserve">ADDIN Mendeley Bibliography CSL_BIBLIOGRAPHY </w:instrText>
      </w:r>
      <w:r>
        <w:fldChar w:fldCharType="separate"/>
      </w:r>
      <w:r w:rsidR="00D70151" w:rsidRPr="00D70151">
        <w:rPr>
          <w:rFonts w:ascii="Calibri" w:hAnsi="Calibri" w:cs="Calibri"/>
          <w:noProof/>
          <w:szCs w:val="24"/>
        </w:rPr>
        <w:t xml:space="preserve">Burgess, N., Maguire, E. A., &amp; O’Keefe, J. (2002). The human hippocampus and spatial and episodic memory. In </w:t>
      </w:r>
      <w:r w:rsidR="00D70151" w:rsidRPr="00D70151">
        <w:rPr>
          <w:rFonts w:ascii="Calibri" w:hAnsi="Calibri" w:cs="Calibri"/>
          <w:i/>
          <w:iCs/>
          <w:noProof/>
          <w:szCs w:val="24"/>
        </w:rPr>
        <w:t>Neuron</w:t>
      </w:r>
      <w:r w:rsidR="00D70151" w:rsidRPr="00D70151">
        <w:rPr>
          <w:rFonts w:ascii="Calibri" w:hAnsi="Calibri" w:cs="Calibri"/>
          <w:noProof/>
          <w:szCs w:val="24"/>
        </w:rPr>
        <w:t>. https://doi.org/10.1016/S0896-6273(02)00830-9</w:t>
      </w:r>
    </w:p>
    <w:p w14:paraId="06A0E6F1" w14:textId="77777777" w:rsidR="00D70151" w:rsidRPr="00D70151" w:rsidRDefault="00D70151" w:rsidP="00D70151">
      <w:pPr>
        <w:widowControl w:val="0"/>
        <w:autoSpaceDE w:val="0"/>
        <w:autoSpaceDN w:val="0"/>
        <w:adjustRightInd w:val="0"/>
        <w:spacing w:after="0" w:line="480" w:lineRule="auto"/>
        <w:ind w:left="480" w:hanging="480"/>
        <w:rPr>
          <w:rFonts w:ascii="Calibri" w:hAnsi="Calibri" w:cs="Calibri"/>
          <w:noProof/>
          <w:szCs w:val="24"/>
        </w:rPr>
      </w:pPr>
      <w:r w:rsidRPr="00D70151">
        <w:rPr>
          <w:rFonts w:ascii="Calibri" w:hAnsi="Calibri" w:cs="Calibri"/>
          <w:noProof/>
          <w:szCs w:val="24"/>
        </w:rPr>
        <w:t xml:space="preserve">Canada, K. L., Ngo, C. T., Newcombe, N. S., Geng, F., &amp; Riggins, T. (2019). It’s All in the Details: Relations Between Young Children’s Developing Pattern Separation Abilities and Hippocampal Subfield Volumes. </w:t>
      </w:r>
      <w:r w:rsidRPr="00D70151">
        <w:rPr>
          <w:rFonts w:ascii="Calibri" w:hAnsi="Calibri" w:cs="Calibri"/>
          <w:i/>
          <w:iCs/>
          <w:noProof/>
          <w:szCs w:val="24"/>
        </w:rPr>
        <w:t>Cerebral Cortex</w:t>
      </w:r>
      <w:r w:rsidRPr="00D70151">
        <w:rPr>
          <w:rFonts w:ascii="Calibri" w:hAnsi="Calibri" w:cs="Calibri"/>
          <w:noProof/>
          <w:szCs w:val="24"/>
        </w:rPr>
        <w:t>. https://doi.org/10.1093/cercor/bhy211</w:t>
      </w:r>
    </w:p>
    <w:p w14:paraId="65C8524A" w14:textId="77777777" w:rsidR="00D70151" w:rsidRPr="00D70151" w:rsidRDefault="00D70151" w:rsidP="00D70151">
      <w:pPr>
        <w:widowControl w:val="0"/>
        <w:autoSpaceDE w:val="0"/>
        <w:autoSpaceDN w:val="0"/>
        <w:adjustRightInd w:val="0"/>
        <w:spacing w:after="0" w:line="480" w:lineRule="auto"/>
        <w:ind w:left="480" w:hanging="480"/>
        <w:rPr>
          <w:rFonts w:ascii="Calibri" w:hAnsi="Calibri" w:cs="Calibri"/>
          <w:noProof/>
          <w:szCs w:val="24"/>
        </w:rPr>
      </w:pPr>
      <w:r w:rsidRPr="00D70151">
        <w:rPr>
          <w:rFonts w:ascii="Calibri" w:hAnsi="Calibri" w:cs="Calibri"/>
          <w:noProof/>
          <w:szCs w:val="24"/>
        </w:rPr>
        <w:t xml:space="preserve">DeMaster, D. M., &amp; Ghetti, S. (2013). Developmental differences in hippocampal and cortical contributions to episodic retrieval. </w:t>
      </w:r>
      <w:r w:rsidRPr="00D70151">
        <w:rPr>
          <w:rFonts w:ascii="Calibri" w:hAnsi="Calibri" w:cs="Calibri"/>
          <w:i/>
          <w:iCs/>
          <w:noProof/>
          <w:szCs w:val="24"/>
        </w:rPr>
        <w:t>Cortex</w:t>
      </w:r>
      <w:r w:rsidRPr="00D70151">
        <w:rPr>
          <w:rFonts w:ascii="Calibri" w:hAnsi="Calibri" w:cs="Calibri"/>
          <w:noProof/>
          <w:szCs w:val="24"/>
        </w:rPr>
        <w:t>. https://doi.org/10.1016/j.cortex.2012.08.004</w:t>
      </w:r>
    </w:p>
    <w:p w14:paraId="5109C2B2" w14:textId="77777777" w:rsidR="00D70151" w:rsidRPr="00D70151" w:rsidRDefault="00D70151" w:rsidP="00D70151">
      <w:pPr>
        <w:widowControl w:val="0"/>
        <w:autoSpaceDE w:val="0"/>
        <w:autoSpaceDN w:val="0"/>
        <w:adjustRightInd w:val="0"/>
        <w:spacing w:after="0" w:line="480" w:lineRule="auto"/>
        <w:ind w:left="480" w:hanging="480"/>
        <w:rPr>
          <w:rFonts w:ascii="Calibri" w:hAnsi="Calibri" w:cs="Calibri"/>
          <w:noProof/>
          <w:szCs w:val="24"/>
        </w:rPr>
      </w:pPr>
      <w:r w:rsidRPr="00D70151">
        <w:rPr>
          <w:rFonts w:ascii="Calibri" w:hAnsi="Calibri" w:cs="Calibri"/>
          <w:noProof/>
          <w:szCs w:val="24"/>
        </w:rPr>
        <w:t xml:space="preserve">Fischl, B., Salat, D. H., Busa, E., Albert, M., Dieterich, M., Haselgrove, C., Van Der Kouwe, A., Killiany, R., Kennedy, D., Klaveness, S., Montillo, A., Makris, N., Rosen, B., &amp; Dale, A. M. (2002). Whole brain segmentation: Automated labeling of neuroanatomical structures in the human brain. </w:t>
      </w:r>
      <w:r w:rsidRPr="00D70151">
        <w:rPr>
          <w:rFonts w:ascii="Calibri" w:hAnsi="Calibri" w:cs="Calibri"/>
          <w:i/>
          <w:iCs/>
          <w:noProof/>
          <w:szCs w:val="24"/>
        </w:rPr>
        <w:t>Neuron</w:t>
      </w:r>
      <w:r w:rsidRPr="00D70151">
        <w:rPr>
          <w:rFonts w:ascii="Calibri" w:hAnsi="Calibri" w:cs="Calibri"/>
          <w:noProof/>
          <w:szCs w:val="24"/>
        </w:rPr>
        <w:t>. https://doi.org/10.1016/S0896-6273(02)00569-X</w:t>
      </w:r>
    </w:p>
    <w:p w14:paraId="7E7F1122" w14:textId="77777777" w:rsidR="00D70151" w:rsidRPr="00D70151" w:rsidRDefault="00D70151" w:rsidP="00D70151">
      <w:pPr>
        <w:widowControl w:val="0"/>
        <w:autoSpaceDE w:val="0"/>
        <w:autoSpaceDN w:val="0"/>
        <w:adjustRightInd w:val="0"/>
        <w:spacing w:after="0" w:line="480" w:lineRule="auto"/>
        <w:ind w:left="480" w:hanging="480"/>
        <w:rPr>
          <w:rFonts w:ascii="Calibri" w:hAnsi="Calibri" w:cs="Calibri"/>
          <w:noProof/>
          <w:szCs w:val="24"/>
        </w:rPr>
      </w:pPr>
      <w:r w:rsidRPr="00D70151">
        <w:rPr>
          <w:rFonts w:ascii="Calibri" w:hAnsi="Calibri" w:cs="Calibri"/>
          <w:noProof/>
          <w:szCs w:val="24"/>
        </w:rPr>
        <w:t xml:space="preserve">Giuliano, A., Donatelli, G., Cosottini, M., Tosetti, M., Retico, A., &amp; Fantacci, M. E. (2017). Hippocampal subfields at ultra high field MRI: An overview of segmentation and measurement methods. </w:t>
      </w:r>
      <w:r w:rsidRPr="00D70151">
        <w:rPr>
          <w:rFonts w:ascii="Calibri" w:hAnsi="Calibri" w:cs="Calibri"/>
          <w:i/>
          <w:iCs/>
          <w:noProof/>
          <w:szCs w:val="24"/>
        </w:rPr>
        <w:t>Hippocampus</w:t>
      </w:r>
      <w:r w:rsidRPr="00D70151">
        <w:rPr>
          <w:rFonts w:ascii="Calibri" w:hAnsi="Calibri" w:cs="Calibri"/>
          <w:noProof/>
          <w:szCs w:val="24"/>
        </w:rPr>
        <w:t>. https://doi.org/10.1002/hipo.22717</w:t>
      </w:r>
    </w:p>
    <w:p w14:paraId="713A02E2" w14:textId="77777777" w:rsidR="00D70151" w:rsidRPr="00D70151" w:rsidRDefault="00D70151" w:rsidP="00D70151">
      <w:pPr>
        <w:widowControl w:val="0"/>
        <w:autoSpaceDE w:val="0"/>
        <w:autoSpaceDN w:val="0"/>
        <w:adjustRightInd w:val="0"/>
        <w:spacing w:after="0" w:line="480" w:lineRule="auto"/>
        <w:ind w:left="480" w:hanging="480"/>
        <w:rPr>
          <w:rFonts w:ascii="Calibri" w:hAnsi="Calibri" w:cs="Calibri"/>
          <w:noProof/>
          <w:szCs w:val="24"/>
        </w:rPr>
      </w:pPr>
      <w:r w:rsidRPr="00D70151">
        <w:rPr>
          <w:rFonts w:ascii="Calibri" w:hAnsi="Calibri" w:cs="Calibri"/>
          <w:noProof/>
          <w:szCs w:val="24"/>
        </w:rPr>
        <w:t xml:space="preserve">Kurdziel, L., Duclos, K., &amp; Spencer, R. M. C. (2013). Sleep spindles in midday naps enhance learning in preschool children. </w:t>
      </w:r>
      <w:r w:rsidRPr="00D70151">
        <w:rPr>
          <w:rFonts w:ascii="Calibri" w:hAnsi="Calibri" w:cs="Calibri"/>
          <w:i/>
          <w:iCs/>
          <w:noProof/>
          <w:szCs w:val="24"/>
        </w:rPr>
        <w:t>Proceedings of the National Academy of Sciences of the United States of America</w:t>
      </w:r>
      <w:r w:rsidRPr="00D70151">
        <w:rPr>
          <w:rFonts w:ascii="Calibri" w:hAnsi="Calibri" w:cs="Calibri"/>
          <w:noProof/>
          <w:szCs w:val="24"/>
        </w:rPr>
        <w:t xml:space="preserve">, </w:t>
      </w:r>
      <w:r w:rsidRPr="00D70151">
        <w:rPr>
          <w:rFonts w:ascii="Calibri" w:hAnsi="Calibri" w:cs="Calibri"/>
          <w:i/>
          <w:iCs/>
          <w:noProof/>
          <w:szCs w:val="24"/>
        </w:rPr>
        <w:t>110</w:t>
      </w:r>
      <w:r w:rsidRPr="00D70151">
        <w:rPr>
          <w:rFonts w:ascii="Calibri" w:hAnsi="Calibri" w:cs="Calibri"/>
          <w:noProof/>
          <w:szCs w:val="24"/>
        </w:rPr>
        <w:t>(43), 17267–17272. https://doi.org/10.1073/pnas.1306418110</w:t>
      </w:r>
    </w:p>
    <w:p w14:paraId="598D9335" w14:textId="77777777" w:rsidR="00D70151" w:rsidRPr="00D70151" w:rsidRDefault="00D70151" w:rsidP="00D70151">
      <w:pPr>
        <w:widowControl w:val="0"/>
        <w:autoSpaceDE w:val="0"/>
        <w:autoSpaceDN w:val="0"/>
        <w:adjustRightInd w:val="0"/>
        <w:spacing w:after="0" w:line="480" w:lineRule="auto"/>
        <w:ind w:left="480" w:hanging="480"/>
        <w:rPr>
          <w:rFonts w:ascii="Calibri" w:hAnsi="Calibri" w:cs="Calibri"/>
          <w:noProof/>
          <w:szCs w:val="24"/>
        </w:rPr>
      </w:pPr>
      <w:r w:rsidRPr="00D70151">
        <w:rPr>
          <w:rFonts w:ascii="Calibri" w:hAnsi="Calibri" w:cs="Calibri"/>
          <w:noProof/>
          <w:szCs w:val="24"/>
        </w:rPr>
        <w:t xml:space="preserve">Lam, J. C., Mahone, E. M., Mason, T., &amp; Scharf, S. M. (2011). The effects of napping on cognitive function in preschoolers. </w:t>
      </w:r>
      <w:r w:rsidRPr="00D70151">
        <w:rPr>
          <w:rFonts w:ascii="Calibri" w:hAnsi="Calibri" w:cs="Calibri"/>
          <w:i/>
          <w:iCs/>
          <w:noProof/>
          <w:szCs w:val="24"/>
        </w:rPr>
        <w:t>Journal of Developmental and Behavioral Pediatrics</w:t>
      </w:r>
      <w:r w:rsidRPr="00D70151">
        <w:rPr>
          <w:rFonts w:ascii="Calibri" w:hAnsi="Calibri" w:cs="Calibri"/>
          <w:noProof/>
          <w:szCs w:val="24"/>
        </w:rPr>
        <w:t>. https://doi.org/10.1097/DBP.0b013e318207ecc7</w:t>
      </w:r>
    </w:p>
    <w:p w14:paraId="275542E1" w14:textId="77777777" w:rsidR="00D70151" w:rsidRPr="00D70151" w:rsidRDefault="00D70151" w:rsidP="00D70151">
      <w:pPr>
        <w:widowControl w:val="0"/>
        <w:autoSpaceDE w:val="0"/>
        <w:autoSpaceDN w:val="0"/>
        <w:adjustRightInd w:val="0"/>
        <w:spacing w:after="0" w:line="480" w:lineRule="auto"/>
        <w:ind w:left="480" w:hanging="480"/>
        <w:rPr>
          <w:rFonts w:ascii="Calibri" w:hAnsi="Calibri" w:cs="Calibri"/>
          <w:noProof/>
          <w:szCs w:val="24"/>
        </w:rPr>
      </w:pPr>
      <w:r w:rsidRPr="00D70151">
        <w:rPr>
          <w:rFonts w:ascii="Calibri" w:hAnsi="Calibri" w:cs="Calibri"/>
          <w:noProof/>
          <w:szCs w:val="24"/>
        </w:rPr>
        <w:t xml:space="preserve">Morey, R. A., Petty, C. M., Xu, Y., Pannu Hayes, J., Wagner, H. R., Lewis, D. V., LaBar, K. S., Styner, M., &amp; McCarthy, G. (2009). A comparison of automated segmentation and manual tracing for quantifying hippocampal and amygdala volumes. </w:t>
      </w:r>
      <w:r w:rsidRPr="00D70151">
        <w:rPr>
          <w:rFonts w:ascii="Calibri" w:hAnsi="Calibri" w:cs="Calibri"/>
          <w:i/>
          <w:iCs/>
          <w:noProof/>
          <w:szCs w:val="24"/>
        </w:rPr>
        <w:t>NeuroImage</w:t>
      </w:r>
      <w:r w:rsidRPr="00D70151">
        <w:rPr>
          <w:rFonts w:ascii="Calibri" w:hAnsi="Calibri" w:cs="Calibri"/>
          <w:noProof/>
          <w:szCs w:val="24"/>
        </w:rPr>
        <w:t xml:space="preserve">. </w:t>
      </w:r>
      <w:r w:rsidRPr="00D70151">
        <w:rPr>
          <w:rFonts w:ascii="Calibri" w:hAnsi="Calibri" w:cs="Calibri"/>
          <w:noProof/>
          <w:szCs w:val="24"/>
        </w:rPr>
        <w:lastRenderedPageBreak/>
        <w:t>https://doi.org/10.1016/j.neuroimage.2008.12.033</w:t>
      </w:r>
    </w:p>
    <w:p w14:paraId="0CF3776D" w14:textId="77777777" w:rsidR="00D70151" w:rsidRPr="00D70151" w:rsidRDefault="00D70151" w:rsidP="00D70151">
      <w:pPr>
        <w:widowControl w:val="0"/>
        <w:autoSpaceDE w:val="0"/>
        <w:autoSpaceDN w:val="0"/>
        <w:adjustRightInd w:val="0"/>
        <w:spacing w:after="0" w:line="480" w:lineRule="auto"/>
        <w:ind w:left="480" w:hanging="480"/>
        <w:rPr>
          <w:rFonts w:ascii="Calibri" w:hAnsi="Calibri" w:cs="Calibri"/>
          <w:noProof/>
          <w:szCs w:val="24"/>
        </w:rPr>
      </w:pPr>
      <w:r w:rsidRPr="00D70151">
        <w:rPr>
          <w:rFonts w:ascii="Calibri" w:hAnsi="Calibri" w:cs="Calibri"/>
          <w:noProof/>
          <w:szCs w:val="24"/>
        </w:rPr>
        <w:t xml:space="preserve">Poppenk, J., &amp; Moscovitch, M. (2011). A hippocampal marker of recollection memory ability among healthy young adults: Contributions of posterior and anterior segments. </w:t>
      </w:r>
      <w:r w:rsidRPr="00D70151">
        <w:rPr>
          <w:rFonts w:ascii="Calibri" w:hAnsi="Calibri" w:cs="Calibri"/>
          <w:i/>
          <w:iCs/>
          <w:noProof/>
          <w:szCs w:val="24"/>
        </w:rPr>
        <w:t>Neuron</w:t>
      </w:r>
      <w:r w:rsidRPr="00D70151">
        <w:rPr>
          <w:rFonts w:ascii="Calibri" w:hAnsi="Calibri" w:cs="Calibri"/>
          <w:noProof/>
          <w:szCs w:val="24"/>
        </w:rPr>
        <w:t>. https://doi.org/10.1016/j.neuron.2011.10.014</w:t>
      </w:r>
    </w:p>
    <w:p w14:paraId="73394139" w14:textId="77777777" w:rsidR="00D70151" w:rsidRPr="00D70151" w:rsidRDefault="00D70151" w:rsidP="00D70151">
      <w:pPr>
        <w:widowControl w:val="0"/>
        <w:autoSpaceDE w:val="0"/>
        <w:autoSpaceDN w:val="0"/>
        <w:adjustRightInd w:val="0"/>
        <w:spacing w:after="0" w:line="480" w:lineRule="auto"/>
        <w:ind w:left="480" w:hanging="480"/>
        <w:rPr>
          <w:rFonts w:ascii="Calibri" w:hAnsi="Calibri" w:cs="Calibri"/>
          <w:noProof/>
          <w:szCs w:val="24"/>
        </w:rPr>
      </w:pPr>
      <w:r w:rsidRPr="00D70151">
        <w:rPr>
          <w:rFonts w:ascii="Calibri" w:hAnsi="Calibri" w:cs="Calibri"/>
          <w:noProof/>
          <w:szCs w:val="24"/>
        </w:rPr>
        <w:t xml:space="preserve">Riggins, T., Blankenship, S. L., Mulligan, E., Rice, K., &amp; Redcay, E. (2015). Developmental Differences in Relations Between Episodic Memory and Hippocampal Subregion Volume During Early Childhood. </w:t>
      </w:r>
      <w:r w:rsidRPr="00D70151">
        <w:rPr>
          <w:rFonts w:ascii="Calibri" w:hAnsi="Calibri" w:cs="Calibri"/>
          <w:i/>
          <w:iCs/>
          <w:noProof/>
          <w:szCs w:val="24"/>
        </w:rPr>
        <w:t>Child Development</w:t>
      </w:r>
      <w:r w:rsidRPr="00D70151">
        <w:rPr>
          <w:rFonts w:ascii="Calibri" w:hAnsi="Calibri" w:cs="Calibri"/>
          <w:noProof/>
          <w:szCs w:val="24"/>
        </w:rPr>
        <w:t>. https://doi.org/10.1111/cdev.12445</w:t>
      </w:r>
    </w:p>
    <w:p w14:paraId="7688237C" w14:textId="77777777" w:rsidR="00D70151" w:rsidRPr="00D70151" w:rsidRDefault="00D70151" w:rsidP="00D70151">
      <w:pPr>
        <w:widowControl w:val="0"/>
        <w:autoSpaceDE w:val="0"/>
        <w:autoSpaceDN w:val="0"/>
        <w:adjustRightInd w:val="0"/>
        <w:spacing w:after="0" w:line="480" w:lineRule="auto"/>
        <w:ind w:left="480" w:hanging="480"/>
        <w:rPr>
          <w:rFonts w:ascii="Calibri" w:hAnsi="Calibri" w:cs="Calibri"/>
          <w:noProof/>
          <w:szCs w:val="24"/>
        </w:rPr>
      </w:pPr>
      <w:r w:rsidRPr="00D70151">
        <w:rPr>
          <w:rFonts w:ascii="Calibri" w:hAnsi="Calibri" w:cs="Calibri"/>
          <w:noProof/>
          <w:szCs w:val="24"/>
        </w:rPr>
        <w:t xml:space="preserve">Riggins, T., Geng, F., Botdorf, M., Canada, K., Cox, L., &amp; Hancock, G. R. (2018). Protracted hippocampal development is associated with age-related improvements in memory during early childhood. </w:t>
      </w:r>
      <w:r w:rsidRPr="00D70151">
        <w:rPr>
          <w:rFonts w:ascii="Calibri" w:hAnsi="Calibri" w:cs="Calibri"/>
          <w:i/>
          <w:iCs/>
          <w:noProof/>
          <w:szCs w:val="24"/>
        </w:rPr>
        <w:t>NeuroImage</w:t>
      </w:r>
      <w:r w:rsidRPr="00D70151">
        <w:rPr>
          <w:rFonts w:ascii="Calibri" w:hAnsi="Calibri" w:cs="Calibri"/>
          <w:noProof/>
          <w:szCs w:val="24"/>
        </w:rPr>
        <w:t>. https://doi.org/10.1016/j.neuroimage.2018.03.009</w:t>
      </w:r>
    </w:p>
    <w:p w14:paraId="5FC64EF2" w14:textId="77777777" w:rsidR="00D70151" w:rsidRPr="00D70151" w:rsidRDefault="00D70151" w:rsidP="00D70151">
      <w:pPr>
        <w:widowControl w:val="0"/>
        <w:autoSpaceDE w:val="0"/>
        <w:autoSpaceDN w:val="0"/>
        <w:adjustRightInd w:val="0"/>
        <w:spacing w:after="0" w:line="480" w:lineRule="auto"/>
        <w:ind w:left="480" w:hanging="480"/>
        <w:rPr>
          <w:rFonts w:ascii="Calibri" w:hAnsi="Calibri" w:cs="Calibri"/>
          <w:noProof/>
          <w:szCs w:val="24"/>
        </w:rPr>
      </w:pPr>
      <w:r w:rsidRPr="00D70151">
        <w:rPr>
          <w:rFonts w:ascii="Calibri" w:hAnsi="Calibri" w:cs="Calibri"/>
          <w:noProof/>
          <w:szCs w:val="24"/>
        </w:rPr>
        <w:t xml:space="preserve">Stickgold, R., &amp; Walker, M. P. (2013). Sleep-dependent memory triage: Evolving generalization through selective processing. In </w:t>
      </w:r>
      <w:r w:rsidRPr="00D70151">
        <w:rPr>
          <w:rFonts w:ascii="Calibri" w:hAnsi="Calibri" w:cs="Calibri"/>
          <w:i/>
          <w:iCs/>
          <w:noProof/>
          <w:szCs w:val="24"/>
        </w:rPr>
        <w:t>Nature Neuroscience</w:t>
      </w:r>
      <w:r w:rsidRPr="00D70151">
        <w:rPr>
          <w:rFonts w:ascii="Calibri" w:hAnsi="Calibri" w:cs="Calibri"/>
          <w:noProof/>
          <w:szCs w:val="24"/>
        </w:rPr>
        <w:t>. https://doi.org/10.1038/nn.3303</w:t>
      </w:r>
    </w:p>
    <w:p w14:paraId="55CF8057" w14:textId="77777777" w:rsidR="00D70151" w:rsidRPr="00D70151" w:rsidRDefault="00D70151" w:rsidP="00D70151">
      <w:pPr>
        <w:widowControl w:val="0"/>
        <w:autoSpaceDE w:val="0"/>
        <w:autoSpaceDN w:val="0"/>
        <w:adjustRightInd w:val="0"/>
        <w:spacing w:after="0" w:line="480" w:lineRule="auto"/>
        <w:ind w:left="480" w:hanging="480"/>
        <w:rPr>
          <w:rFonts w:ascii="Calibri" w:hAnsi="Calibri" w:cs="Calibri"/>
          <w:noProof/>
          <w:szCs w:val="24"/>
        </w:rPr>
      </w:pPr>
      <w:r w:rsidRPr="00D70151">
        <w:rPr>
          <w:rFonts w:ascii="Calibri" w:hAnsi="Calibri" w:cs="Calibri"/>
          <w:noProof/>
          <w:szCs w:val="24"/>
        </w:rPr>
        <w:t xml:space="preserve">Van Petten, C. (2004). Relationship between hippocampal volume and memory ability in healthy individuals across the lifespan: Review and meta-analysis. In </w:t>
      </w:r>
      <w:r w:rsidRPr="00D70151">
        <w:rPr>
          <w:rFonts w:ascii="Calibri" w:hAnsi="Calibri" w:cs="Calibri"/>
          <w:i/>
          <w:iCs/>
          <w:noProof/>
          <w:szCs w:val="24"/>
        </w:rPr>
        <w:t>Neuropsychologia</w:t>
      </w:r>
      <w:r w:rsidRPr="00D70151">
        <w:rPr>
          <w:rFonts w:ascii="Calibri" w:hAnsi="Calibri" w:cs="Calibri"/>
          <w:noProof/>
          <w:szCs w:val="24"/>
        </w:rPr>
        <w:t>. https://doi.org/10.1016/j.neuropsychologia.2004.04.006</w:t>
      </w:r>
    </w:p>
    <w:p w14:paraId="1FF2C554" w14:textId="77777777" w:rsidR="00CE5359" w:rsidRPr="004E1AFD" w:rsidRDefault="00CE5359" w:rsidP="00CE5359">
      <w:pPr>
        <w:widowControl w:val="0"/>
        <w:autoSpaceDE w:val="0"/>
        <w:autoSpaceDN w:val="0"/>
        <w:adjustRightInd w:val="0"/>
        <w:spacing w:after="0" w:line="480" w:lineRule="auto"/>
        <w:ind w:left="480" w:hanging="480"/>
        <w:rPr>
          <w:rFonts w:ascii="Calibri" w:hAnsi="Calibri" w:cs="Times New Roman"/>
          <w:noProof/>
          <w:szCs w:val="24"/>
        </w:rPr>
      </w:pPr>
      <w:r w:rsidRPr="004A3ADD">
        <w:rPr>
          <w:rFonts w:ascii="Calibri" w:hAnsi="Calibri" w:cs="Times New Roman"/>
          <w:noProof/>
          <w:szCs w:val="24"/>
        </w:rPr>
        <w:t>Wang</w:t>
      </w:r>
      <w:r>
        <w:rPr>
          <w:rFonts w:ascii="Calibri" w:hAnsi="Calibri" w:cs="Times New Roman"/>
          <w:noProof/>
          <w:szCs w:val="24"/>
        </w:rPr>
        <w:t>,</w:t>
      </w:r>
      <w:r w:rsidRPr="004A3ADD">
        <w:rPr>
          <w:rFonts w:ascii="Calibri" w:hAnsi="Calibri" w:cs="Times New Roman"/>
          <w:noProof/>
          <w:szCs w:val="24"/>
        </w:rPr>
        <w:t xml:space="preserve"> H</w:t>
      </w:r>
      <w:r>
        <w:rPr>
          <w:rFonts w:ascii="Calibri" w:hAnsi="Calibri" w:cs="Times New Roman"/>
          <w:noProof/>
          <w:szCs w:val="24"/>
        </w:rPr>
        <w:t>.</w:t>
      </w:r>
      <w:r w:rsidRPr="004A3ADD">
        <w:rPr>
          <w:rFonts w:ascii="Calibri" w:hAnsi="Calibri" w:cs="Times New Roman"/>
          <w:noProof/>
          <w:szCs w:val="24"/>
        </w:rPr>
        <w:t>, Das</w:t>
      </w:r>
      <w:r>
        <w:rPr>
          <w:rFonts w:ascii="Calibri" w:hAnsi="Calibri" w:cs="Times New Roman"/>
          <w:noProof/>
          <w:szCs w:val="24"/>
        </w:rPr>
        <w:t>,</w:t>
      </w:r>
      <w:r w:rsidRPr="004A3ADD">
        <w:rPr>
          <w:rFonts w:ascii="Calibri" w:hAnsi="Calibri" w:cs="Times New Roman"/>
          <w:noProof/>
          <w:szCs w:val="24"/>
        </w:rPr>
        <w:t xml:space="preserve"> S</w:t>
      </w:r>
      <w:r>
        <w:rPr>
          <w:rFonts w:ascii="Calibri" w:hAnsi="Calibri" w:cs="Times New Roman"/>
          <w:noProof/>
          <w:szCs w:val="24"/>
        </w:rPr>
        <w:t xml:space="preserve">. </w:t>
      </w:r>
      <w:r w:rsidRPr="004A3ADD">
        <w:rPr>
          <w:rFonts w:ascii="Calibri" w:hAnsi="Calibri" w:cs="Times New Roman"/>
          <w:noProof/>
          <w:szCs w:val="24"/>
        </w:rPr>
        <w:t>R</w:t>
      </w:r>
      <w:r>
        <w:rPr>
          <w:rFonts w:ascii="Calibri" w:hAnsi="Calibri" w:cs="Times New Roman"/>
          <w:noProof/>
          <w:szCs w:val="24"/>
        </w:rPr>
        <w:t>.</w:t>
      </w:r>
      <w:r w:rsidRPr="004A3ADD">
        <w:rPr>
          <w:rFonts w:ascii="Calibri" w:hAnsi="Calibri" w:cs="Times New Roman"/>
          <w:noProof/>
          <w:szCs w:val="24"/>
        </w:rPr>
        <w:t>, Suh</w:t>
      </w:r>
      <w:r>
        <w:rPr>
          <w:rFonts w:ascii="Calibri" w:hAnsi="Calibri" w:cs="Times New Roman"/>
          <w:noProof/>
          <w:szCs w:val="24"/>
        </w:rPr>
        <w:t>,</w:t>
      </w:r>
      <w:r w:rsidRPr="004A3ADD">
        <w:rPr>
          <w:rFonts w:ascii="Calibri" w:hAnsi="Calibri" w:cs="Times New Roman"/>
          <w:noProof/>
          <w:szCs w:val="24"/>
        </w:rPr>
        <w:t xml:space="preserve"> J</w:t>
      </w:r>
      <w:r>
        <w:rPr>
          <w:rFonts w:ascii="Calibri" w:hAnsi="Calibri" w:cs="Times New Roman"/>
          <w:noProof/>
          <w:szCs w:val="24"/>
        </w:rPr>
        <w:t xml:space="preserve">. </w:t>
      </w:r>
      <w:r w:rsidRPr="004A3ADD">
        <w:rPr>
          <w:rFonts w:ascii="Calibri" w:hAnsi="Calibri" w:cs="Times New Roman"/>
          <w:noProof/>
          <w:szCs w:val="24"/>
        </w:rPr>
        <w:t>W</w:t>
      </w:r>
      <w:r>
        <w:rPr>
          <w:rFonts w:ascii="Calibri" w:hAnsi="Calibri" w:cs="Times New Roman"/>
          <w:noProof/>
          <w:szCs w:val="24"/>
        </w:rPr>
        <w:t>.</w:t>
      </w:r>
      <w:r w:rsidRPr="004A3ADD">
        <w:rPr>
          <w:rFonts w:ascii="Calibri" w:hAnsi="Calibri" w:cs="Times New Roman"/>
          <w:noProof/>
          <w:szCs w:val="24"/>
        </w:rPr>
        <w:t>, Altinay</w:t>
      </w:r>
      <w:r>
        <w:rPr>
          <w:rFonts w:ascii="Calibri" w:hAnsi="Calibri" w:cs="Times New Roman"/>
          <w:noProof/>
          <w:szCs w:val="24"/>
        </w:rPr>
        <w:t>,</w:t>
      </w:r>
      <w:r w:rsidRPr="004A3ADD">
        <w:rPr>
          <w:rFonts w:ascii="Calibri" w:hAnsi="Calibri" w:cs="Times New Roman"/>
          <w:noProof/>
          <w:szCs w:val="24"/>
        </w:rPr>
        <w:t xml:space="preserve"> M</w:t>
      </w:r>
      <w:r>
        <w:rPr>
          <w:rFonts w:ascii="Calibri" w:hAnsi="Calibri" w:cs="Times New Roman"/>
          <w:noProof/>
          <w:szCs w:val="24"/>
        </w:rPr>
        <w:t>.</w:t>
      </w:r>
      <w:r w:rsidRPr="004A3ADD">
        <w:rPr>
          <w:rFonts w:ascii="Calibri" w:hAnsi="Calibri" w:cs="Times New Roman"/>
          <w:noProof/>
          <w:szCs w:val="24"/>
        </w:rPr>
        <w:t>, Pluta</w:t>
      </w:r>
      <w:r>
        <w:rPr>
          <w:rFonts w:ascii="Calibri" w:hAnsi="Calibri" w:cs="Times New Roman"/>
          <w:noProof/>
          <w:szCs w:val="24"/>
        </w:rPr>
        <w:t>,</w:t>
      </w:r>
      <w:r w:rsidRPr="004A3ADD">
        <w:rPr>
          <w:rFonts w:ascii="Calibri" w:hAnsi="Calibri" w:cs="Times New Roman"/>
          <w:noProof/>
          <w:szCs w:val="24"/>
        </w:rPr>
        <w:t xml:space="preserve"> J</w:t>
      </w:r>
      <w:r>
        <w:rPr>
          <w:rFonts w:ascii="Calibri" w:hAnsi="Calibri" w:cs="Times New Roman"/>
          <w:noProof/>
          <w:szCs w:val="24"/>
        </w:rPr>
        <w:t>.</w:t>
      </w:r>
      <w:r w:rsidRPr="004A3ADD">
        <w:rPr>
          <w:rFonts w:ascii="Calibri" w:hAnsi="Calibri" w:cs="Times New Roman"/>
          <w:noProof/>
          <w:szCs w:val="24"/>
        </w:rPr>
        <w:t>, Craige</w:t>
      </w:r>
      <w:r>
        <w:rPr>
          <w:rFonts w:ascii="Calibri" w:hAnsi="Calibri" w:cs="Times New Roman"/>
          <w:noProof/>
          <w:szCs w:val="24"/>
        </w:rPr>
        <w:t>,</w:t>
      </w:r>
      <w:r w:rsidRPr="004A3ADD">
        <w:rPr>
          <w:rFonts w:ascii="Calibri" w:hAnsi="Calibri" w:cs="Times New Roman"/>
          <w:noProof/>
          <w:szCs w:val="24"/>
        </w:rPr>
        <w:t xml:space="preserve"> C</w:t>
      </w:r>
      <w:r>
        <w:rPr>
          <w:rFonts w:ascii="Calibri" w:hAnsi="Calibri" w:cs="Times New Roman"/>
          <w:noProof/>
          <w:szCs w:val="24"/>
        </w:rPr>
        <w:t>.</w:t>
      </w:r>
      <w:r w:rsidRPr="004A3ADD">
        <w:rPr>
          <w:rFonts w:ascii="Calibri" w:hAnsi="Calibri" w:cs="Times New Roman"/>
          <w:noProof/>
          <w:szCs w:val="24"/>
        </w:rPr>
        <w:t>, Avants</w:t>
      </w:r>
      <w:r>
        <w:rPr>
          <w:rFonts w:ascii="Calibri" w:hAnsi="Calibri" w:cs="Times New Roman"/>
          <w:noProof/>
          <w:szCs w:val="24"/>
        </w:rPr>
        <w:t>,</w:t>
      </w:r>
      <w:r w:rsidRPr="004A3ADD">
        <w:rPr>
          <w:rFonts w:ascii="Calibri" w:hAnsi="Calibri" w:cs="Times New Roman"/>
          <w:noProof/>
          <w:szCs w:val="24"/>
        </w:rPr>
        <w:t xml:space="preserve"> B</w:t>
      </w:r>
      <w:r>
        <w:rPr>
          <w:rFonts w:ascii="Calibri" w:hAnsi="Calibri" w:cs="Times New Roman"/>
          <w:noProof/>
          <w:szCs w:val="24"/>
        </w:rPr>
        <w:t>.</w:t>
      </w:r>
      <w:r w:rsidRPr="004A3ADD">
        <w:rPr>
          <w:rFonts w:ascii="Calibri" w:hAnsi="Calibri" w:cs="Times New Roman"/>
          <w:noProof/>
          <w:szCs w:val="24"/>
        </w:rPr>
        <w:t>,</w:t>
      </w:r>
      <w:r>
        <w:rPr>
          <w:rFonts w:ascii="Calibri" w:hAnsi="Calibri" w:cs="Times New Roman"/>
          <w:noProof/>
          <w:szCs w:val="24"/>
        </w:rPr>
        <w:t xml:space="preserve"> &amp;</w:t>
      </w:r>
      <w:r w:rsidRPr="004A3ADD">
        <w:rPr>
          <w:rFonts w:ascii="Calibri" w:hAnsi="Calibri" w:cs="Times New Roman"/>
          <w:noProof/>
          <w:szCs w:val="24"/>
        </w:rPr>
        <w:t xml:space="preserve"> Yushkevich</w:t>
      </w:r>
      <w:r>
        <w:rPr>
          <w:rFonts w:ascii="Calibri" w:hAnsi="Calibri" w:cs="Times New Roman"/>
          <w:noProof/>
          <w:szCs w:val="24"/>
        </w:rPr>
        <w:t>,</w:t>
      </w:r>
      <w:r w:rsidRPr="004A3ADD">
        <w:rPr>
          <w:rFonts w:ascii="Calibri" w:hAnsi="Calibri" w:cs="Times New Roman"/>
          <w:noProof/>
          <w:szCs w:val="24"/>
        </w:rPr>
        <w:t xml:space="preserve"> P</w:t>
      </w:r>
      <w:r>
        <w:rPr>
          <w:rFonts w:ascii="Calibri" w:hAnsi="Calibri" w:cs="Times New Roman"/>
          <w:noProof/>
          <w:szCs w:val="24"/>
        </w:rPr>
        <w:t xml:space="preserve">. </w:t>
      </w:r>
      <w:r w:rsidRPr="004A3ADD">
        <w:rPr>
          <w:rFonts w:ascii="Calibri" w:hAnsi="Calibri" w:cs="Times New Roman"/>
          <w:noProof/>
          <w:szCs w:val="24"/>
        </w:rPr>
        <w:t>A</w:t>
      </w:r>
      <w:r>
        <w:rPr>
          <w:rFonts w:ascii="Calibri" w:hAnsi="Calibri" w:cs="Times New Roman"/>
          <w:noProof/>
          <w:szCs w:val="24"/>
        </w:rPr>
        <w:t>. (2011</w:t>
      </w:r>
      <w:r w:rsidRPr="00945C63">
        <w:rPr>
          <w:rFonts w:ascii="Calibri" w:hAnsi="Calibri" w:cs="Times New Roman"/>
          <w:noProof/>
          <w:szCs w:val="24"/>
        </w:rPr>
        <w:t xml:space="preserve">). A learning-based wrapper method to correct systematic errors in automatic image segmentation: Consistently improved performance in hippocampus, cortex and brain segmentation. </w:t>
      </w:r>
      <w:r w:rsidRPr="00945C63">
        <w:rPr>
          <w:rFonts w:ascii="Calibri" w:hAnsi="Calibri" w:cs="Times New Roman"/>
          <w:i/>
          <w:iCs/>
          <w:noProof/>
          <w:szCs w:val="24"/>
        </w:rPr>
        <w:t>NeuroImage</w:t>
      </w:r>
      <w:r>
        <w:rPr>
          <w:rFonts w:ascii="Calibri" w:hAnsi="Calibri" w:cs="Times New Roman"/>
          <w:i/>
          <w:iCs/>
          <w:noProof/>
          <w:szCs w:val="24"/>
        </w:rPr>
        <w:t>, 55</w:t>
      </w:r>
      <w:r>
        <w:rPr>
          <w:rFonts w:ascii="Calibri" w:hAnsi="Calibri" w:cs="Times New Roman"/>
          <w:noProof/>
          <w:szCs w:val="24"/>
        </w:rPr>
        <w:t>(3), 968-85. https://</w:t>
      </w:r>
      <w:r>
        <w:t>doi.org/</w:t>
      </w:r>
      <w:r w:rsidRPr="004E1AFD">
        <w:rPr>
          <w:rFonts w:ascii="Calibri" w:hAnsi="Calibri" w:cs="Times New Roman"/>
          <w:noProof/>
          <w:szCs w:val="24"/>
        </w:rPr>
        <w:t>10.1016/j.neuroimage.2011.01.006</w:t>
      </w:r>
    </w:p>
    <w:p w14:paraId="147B6F10" w14:textId="77777777" w:rsidR="00D70151" w:rsidRPr="00D70151" w:rsidRDefault="00D70151" w:rsidP="00D70151">
      <w:pPr>
        <w:widowControl w:val="0"/>
        <w:autoSpaceDE w:val="0"/>
        <w:autoSpaceDN w:val="0"/>
        <w:adjustRightInd w:val="0"/>
        <w:spacing w:after="0" w:line="480" w:lineRule="auto"/>
        <w:ind w:left="480" w:hanging="480"/>
        <w:rPr>
          <w:rFonts w:ascii="Calibri" w:hAnsi="Calibri" w:cs="Calibri"/>
          <w:noProof/>
          <w:szCs w:val="24"/>
        </w:rPr>
      </w:pPr>
      <w:r w:rsidRPr="00D70151">
        <w:rPr>
          <w:rFonts w:ascii="Calibri" w:hAnsi="Calibri" w:cs="Calibri"/>
          <w:noProof/>
          <w:szCs w:val="24"/>
        </w:rPr>
        <w:t xml:space="preserve">Watson, C., Andermann, F., Gloor, P., Jones-Gotman, M., Peters, T., Evans, A., Olivier, A., Melanson, D., &amp; Leroux, G. (1992). Anatomic basis of amygdaloid and hippocampal volume measurement by magnetic resonance imaging. </w:t>
      </w:r>
      <w:r w:rsidRPr="00D70151">
        <w:rPr>
          <w:rFonts w:ascii="Calibri" w:hAnsi="Calibri" w:cs="Calibri"/>
          <w:i/>
          <w:iCs/>
          <w:noProof/>
          <w:szCs w:val="24"/>
        </w:rPr>
        <w:t>Neurology</w:t>
      </w:r>
      <w:r w:rsidRPr="00D70151">
        <w:rPr>
          <w:rFonts w:ascii="Calibri" w:hAnsi="Calibri" w:cs="Calibri"/>
          <w:noProof/>
          <w:szCs w:val="24"/>
        </w:rPr>
        <w:t>. https://doi.org/10.1212/wnl.42.9.1743</w:t>
      </w:r>
    </w:p>
    <w:p w14:paraId="338A29C4" w14:textId="26BF547C" w:rsidR="00945C63" w:rsidRPr="00945C63" w:rsidRDefault="00D70151" w:rsidP="00D412C8">
      <w:pPr>
        <w:widowControl w:val="0"/>
        <w:autoSpaceDE w:val="0"/>
        <w:autoSpaceDN w:val="0"/>
        <w:adjustRightInd w:val="0"/>
        <w:spacing w:after="0" w:line="480" w:lineRule="auto"/>
        <w:ind w:left="480" w:hanging="480"/>
      </w:pPr>
      <w:r w:rsidRPr="00D70151">
        <w:rPr>
          <w:rFonts w:ascii="Calibri" w:hAnsi="Calibri" w:cs="Calibri"/>
          <w:noProof/>
          <w:szCs w:val="24"/>
        </w:rPr>
        <w:t xml:space="preserve">Weiss, A. P., Dewitt, I., Goff, D., Ditman, T., &amp; Heckers, S. (2005). Anterior and posterior hippocampal volumes in schizophrenia. </w:t>
      </w:r>
      <w:r w:rsidRPr="00D70151">
        <w:rPr>
          <w:rFonts w:ascii="Calibri" w:hAnsi="Calibri" w:cs="Calibri"/>
          <w:i/>
          <w:iCs/>
          <w:noProof/>
          <w:szCs w:val="24"/>
        </w:rPr>
        <w:t>Schizophrenia Research</w:t>
      </w:r>
      <w:r w:rsidRPr="00D70151">
        <w:rPr>
          <w:rFonts w:ascii="Calibri" w:hAnsi="Calibri" w:cs="Calibri"/>
          <w:noProof/>
          <w:szCs w:val="24"/>
        </w:rPr>
        <w:t>. https://doi.org/10.1016/j.schres.2004.05.018</w:t>
      </w:r>
      <w:r w:rsidR="00945C63">
        <w:fldChar w:fldCharType="end"/>
      </w:r>
    </w:p>
    <w:sectPr w:rsidR="00945C63" w:rsidRPr="00945C63">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1A642F" w14:textId="77777777" w:rsidR="0091052C" w:rsidRDefault="0091052C" w:rsidP="00F72C4D">
      <w:pPr>
        <w:spacing w:after="0" w:line="240" w:lineRule="auto"/>
      </w:pPr>
      <w:r>
        <w:separator/>
      </w:r>
    </w:p>
  </w:endnote>
  <w:endnote w:type="continuationSeparator" w:id="0">
    <w:p w14:paraId="0AB71035" w14:textId="77777777" w:rsidR="0091052C" w:rsidRDefault="0091052C" w:rsidP="00F72C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Helvetica Neue">
    <w:altName w:val="Sylfaen"/>
    <w:charset w:val="00"/>
    <w:family w:val="auto"/>
    <w:pitch w:val="variable"/>
    <w:sig w:usb0="E50002FF" w:usb1="500079DB" w:usb2="0000001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5F6392" w14:textId="77777777" w:rsidR="0091052C" w:rsidRDefault="0091052C" w:rsidP="00F72C4D">
      <w:pPr>
        <w:spacing w:after="0" w:line="240" w:lineRule="auto"/>
      </w:pPr>
      <w:r>
        <w:separator/>
      </w:r>
    </w:p>
  </w:footnote>
  <w:footnote w:type="continuationSeparator" w:id="0">
    <w:p w14:paraId="75221067" w14:textId="77777777" w:rsidR="0091052C" w:rsidRDefault="0091052C" w:rsidP="00F72C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3233537"/>
      <w:docPartObj>
        <w:docPartGallery w:val="Page Numbers (Top of Page)"/>
        <w:docPartUnique/>
      </w:docPartObj>
    </w:sdtPr>
    <w:sdtEndPr>
      <w:rPr>
        <w:noProof/>
      </w:rPr>
    </w:sdtEndPr>
    <w:sdtContent>
      <w:p w14:paraId="032374D6" w14:textId="4E9260B5" w:rsidR="00F72C4D" w:rsidRDefault="00F72C4D">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3B8C6D7E" w14:textId="34B92E73" w:rsidR="00F72C4D" w:rsidRDefault="00F72C4D">
    <w:pPr>
      <w:pStyle w:val="Header"/>
    </w:pPr>
    <w:r>
      <w:t>EXPLORING HIPPOCAMPAL DIFFERENCES IN NAPPERS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8BD3F43"/>
    <w:multiLevelType w:val="hybridMultilevel"/>
    <w:tmpl w:val="600E4CE0"/>
    <w:lvl w:ilvl="0" w:tplc="754EA66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5A1A"/>
    <w:rsid w:val="00015BA8"/>
    <w:rsid w:val="00084CA5"/>
    <w:rsid w:val="000925A5"/>
    <w:rsid w:val="000C556A"/>
    <w:rsid w:val="000E2A37"/>
    <w:rsid w:val="000E4235"/>
    <w:rsid w:val="000E50B6"/>
    <w:rsid w:val="001477B2"/>
    <w:rsid w:val="001B503C"/>
    <w:rsid w:val="001D59DC"/>
    <w:rsid w:val="001E09FD"/>
    <w:rsid w:val="001E7DDB"/>
    <w:rsid w:val="0022722E"/>
    <w:rsid w:val="00260A60"/>
    <w:rsid w:val="00265642"/>
    <w:rsid w:val="00275980"/>
    <w:rsid w:val="002C5BB6"/>
    <w:rsid w:val="002F357E"/>
    <w:rsid w:val="00350FE6"/>
    <w:rsid w:val="00364D94"/>
    <w:rsid w:val="00374396"/>
    <w:rsid w:val="003D3DAC"/>
    <w:rsid w:val="003E761B"/>
    <w:rsid w:val="003F2537"/>
    <w:rsid w:val="00403364"/>
    <w:rsid w:val="00404E60"/>
    <w:rsid w:val="00417CE9"/>
    <w:rsid w:val="00431F85"/>
    <w:rsid w:val="00453FC5"/>
    <w:rsid w:val="00464DEC"/>
    <w:rsid w:val="00465372"/>
    <w:rsid w:val="004847B4"/>
    <w:rsid w:val="004A3ADD"/>
    <w:rsid w:val="004E1AFD"/>
    <w:rsid w:val="00504768"/>
    <w:rsid w:val="00506CDD"/>
    <w:rsid w:val="00597476"/>
    <w:rsid w:val="005E5492"/>
    <w:rsid w:val="006326FA"/>
    <w:rsid w:val="006C3223"/>
    <w:rsid w:val="006F0637"/>
    <w:rsid w:val="00703106"/>
    <w:rsid w:val="00716FB9"/>
    <w:rsid w:val="0074035F"/>
    <w:rsid w:val="007466D7"/>
    <w:rsid w:val="007607AA"/>
    <w:rsid w:val="00775A1A"/>
    <w:rsid w:val="00782725"/>
    <w:rsid w:val="007E4132"/>
    <w:rsid w:val="00817163"/>
    <w:rsid w:val="00830DE1"/>
    <w:rsid w:val="0086150B"/>
    <w:rsid w:val="008B3D66"/>
    <w:rsid w:val="0091052C"/>
    <w:rsid w:val="00924997"/>
    <w:rsid w:val="009457C9"/>
    <w:rsid w:val="00945C63"/>
    <w:rsid w:val="0094759A"/>
    <w:rsid w:val="009E0C40"/>
    <w:rsid w:val="009E1C40"/>
    <w:rsid w:val="00A0284B"/>
    <w:rsid w:val="00A04B5D"/>
    <w:rsid w:val="00A072DF"/>
    <w:rsid w:val="00A2703F"/>
    <w:rsid w:val="00A43937"/>
    <w:rsid w:val="00A52E43"/>
    <w:rsid w:val="00AF5718"/>
    <w:rsid w:val="00B24341"/>
    <w:rsid w:val="00B268A4"/>
    <w:rsid w:val="00B36B76"/>
    <w:rsid w:val="00B92A93"/>
    <w:rsid w:val="00BD193C"/>
    <w:rsid w:val="00BE01EC"/>
    <w:rsid w:val="00C07337"/>
    <w:rsid w:val="00C41142"/>
    <w:rsid w:val="00C51CB1"/>
    <w:rsid w:val="00C52778"/>
    <w:rsid w:val="00C74831"/>
    <w:rsid w:val="00C8493B"/>
    <w:rsid w:val="00CD5FEC"/>
    <w:rsid w:val="00CE5359"/>
    <w:rsid w:val="00D01B8E"/>
    <w:rsid w:val="00D04FD8"/>
    <w:rsid w:val="00D412C8"/>
    <w:rsid w:val="00D43FD2"/>
    <w:rsid w:val="00D55DE5"/>
    <w:rsid w:val="00D70151"/>
    <w:rsid w:val="00DC4100"/>
    <w:rsid w:val="00DD79DD"/>
    <w:rsid w:val="00E01F64"/>
    <w:rsid w:val="00E11AF5"/>
    <w:rsid w:val="00E261AC"/>
    <w:rsid w:val="00E64FE4"/>
    <w:rsid w:val="00EB090C"/>
    <w:rsid w:val="00EC2654"/>
    <w:rsid w:val="00F04BAE"/>
    <w:rsid w:val="00F45819"/>
    <w:rsid w:val="00F46E02"/>
    <w:rsid w:val="00F72C4D"/>
    <w:rsid w:val="00FC58EA"/>
    <w:rsid w:val="00FF2F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FE7921"/>
  <w15:chartTrackingRefBased/>
  <w15:docId w15:val="{8919AF65-D1D9-4EF9-8774-D508F54145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090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64F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4FE4"/>
    <w:rPr>
      <w:rFonts w:ascii="Segoe UI" w:hAnsi="Segoe UI" w:cs="Segoe UI"/>
      <w:sz w:val="18"/>
      <w:szCs w:val="18"/>
    </w:rPr>
  </w:style>
  <w:style w:type="paragraph" w:styleId="ListParagraph">
    <w:name w:val="List Paragraph"/>
    <w:basedOn w:val="Normal"/>
    <w:uiPriority w:val="34"/>
    <w:qFormat/>
    <w:rsid w:val="00A43937"/>
    <w:pPr>
      <w:ind w:left="720"/>
      <w:contextualSpacing/>
    </w:pPr>
  </w:style>
  <w:style w:type="paragraph" w:styleId="Header">
    <w:name w:val="header"/>
    <w:basedOn w:val="Normal"/>
    <w:link w:val="HeaderChar"/>
    <w:uiPriority w:val="99"/>
    <w:unhideWhenUsed/>
    <w:rsid w:val="00F72C4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72C4D"/>
  </w:style>
  <w:style w:type="paragraph" w:styleId="Footer">
    <w:name w:val="footer"/>
    <w:basedOn w:val="Normal"/>
    <w:link w:val="FooterChar"/>
    <w:uiPriority w:val="99"/>
    <w:unhideWhenUsed/>
    <w:rsid w:val="00F72C4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72C4D"/>
  </w:style>
  <w:style w:type="character" w:styleId="CommentReference">
    <w:name w:val="annotation reference"/>
    <w:basedOn w:val="DefaultParagraphFont"/>
    <w:uiPriority w:val="99"/>
    <w:semiHidden/>
    <w:unhideWhenUsed/>
    <w:rsid w:val="00DD79DD"/>
    <w:rPr>
      <w:sz w:val="16"/>
      <w:szCs w:val="16"/>
    </w:rPr>
  </w:style>
  <w:style w:type="paragraph" w:styleId="CommentText">
    <w:name w:val="annotation text"/>
    <w:basedOn w:val="Normal"/>
    <w:link w:val="CommentTextChar"/>
    <w:uiPriority w:val="99"/>
    <w:semiHidden/>
    <w:unhideWhenUsed/>
    <w:rsid w:val="00DD79DD"/>
    <w:pPr>
      <w:spacing w:line="240" w:lineRule="auto"/>
    </w:pPr>
    <w:rPr>
      <w:sz w:val="20"/>
      <w:szCs w:val="20"/>
    </w:rPr>
  </w:style>
  <w:style w:type="character" w:customStyle="1" w:styleId="CommentTextChar">
    <w:name w:val="Comment Text Char"/>
    <w:basedOn w:val="DefaultParagraphFont"/>
    <w:link w:val="CommentText"/>
    <w:uiPriority w:val="99"/>
    <w:semiHidden/>
    <w:rsid w:val="00DD79D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4EF22E-0332-43F7-895C-00031201BC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17</Pages>
  <Words>13756</Words>
  <Characters>78414</Characters>
  <Application>Microsoft Office Word</Application>
  <DocSecurity>0</DocSecurity>
  <Lines>653</Lines>
  <Paragraphs>183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Lena Meredith</dc:creator>
  <cp:keywords/>
  <dc:description/>
  <cp:lastModifiedBy>Lena Meredith</cp:lastModifiedBy>
  <cp:revision>98</cp:revision>
  <dcterms:created xsi:type="dcterms:W3CDTF">2020-04-05T19:34:00Z</dcterms:created>
  <dcterms:modified xsi:type="dcterms:W3CDTF">2020-04-30T22:17:00Z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aa60f593-e1c9-3464-a76a-802a1a9992ee</vt:lpwstr>
  </property>
  <property fmtid="{D5CDD505-2E9C-101B-9397-08002B2CF9AE}" pid="24" name="Mendeley Citation Style_1">
    <vt:lpwstr>http://www.zotero.org/styles/apa</vt:lpwstr>
  </property>
</Properties>
</file>