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65A2D53" w14:textId="77777777" w:rsidR="00D90040" w:rsidRDefault="00D90040">
      <w:pPr>
        <w:jc w:val="center"/>
        <w:rPr>
          <w:rFonts w:ascii="Times New Roman" w:eastAsia="Times New Roman" w:hAnsi="Times New Roman" w:cs="Times New Roman"/>
          <w:sz w:val="24"/>
          <w:szCs w:val="24"/>
        </w:rPr>
      </w:pPr>
    </w:p>
    <w:p w14:paraId="7C89C515" w14:textId="77777777" w:rsidR="00D90040" w:rsidRDefault="00D90040">
      <w:pPr>
        <w:jc w:val="center"/>
        <w:rPr>
          <w:rFonts w:ascii="Times New Roman" w:eastAsia="Times New Roman" w:hAnsi="Times New Roman" w:cs="Times New Roman"/>
          <w:sz w:val="24"/>
          <w:szCs w:val="24"/>
        </w:rPr>
      </w:pPr>
    </w:p>
    <w:p w14:paraId="4C5AA140" w14:textId="77777777" w:rsidR="00D90040" w:rsidRDefault="00D90040">
      <w:pPr>
        <w:jc w:val="center"/>
        <w:rPr>
          <w:rFonts w:ascii="Times New Roman" w:eastAsia="Times New Roman" w:hAnsi="Times New Roman" w:cs="Times New Roman"/>
          <w:sz w:val="24"/>
          <w:szCs w:val="24"/>
        </w:rPr>
      </w:pPr>
    </w:p>
    <w:p w14:paraId="4BE9005F" w14:textId="77777777" w:rsidR="00D90040" w:rsidRDefault="00D90040">
      <w:pPr>
        <w:jc w:val="center"/>
        <w:rPr>
          <w:rFonts w:ascii="Times New Roman" w:eastAsia="Times New Roman" w:hAnsi="Times New Roman" w:cs="Times New Roman"/>
          <w:sz w:val="24"/>
          <w:szCs w:val="24"/>
        </w:rPr>
      </w:pPr>
    </w:p>
    <w:p w14:paraId="44C01A79" w14:textId="77777777" w:rsidR="00D90040" w:rsidRDefault="00D90040">
      <w:pPr>
        <w:jc w:val="center"/>
        <w:rPr>
          <w:rFonts w:ascii="Times New Roman" w:eastAsia="Times New Roman" w:hAnsi="Times New Roman" w:cs="Times New Roman"/>
          <w:b/>
          <w:sz w:val="24"/>
          <w:szCs w:val="24"/>
        </w:rPr>
      </w:pPr>
    </w:p>
    <w:p w14:paraId="18C46542" w14:textId="77777777" w:rsidR="00D90040" w:rsidRDefault="00D90040">
      <w:pPr>
        <w:jc w:val="center"/>
        <w:rPr>
          <w:rFonts w:ascii="Times New Roman" w:eastAsia="Times New Roman" w:hAnsi="Times New Roman" w:cs="Times New Roman"/>
          <w:b/>
          <w:sz w:val="24"/>
          <w:szCs w:val="24"/>
        </w:rPr>
      </w:pPr>
    </w:p>
    <w:p w14:paraId="416D4B86" w14:textId="77777777" w:rsidR="00D90040" w:rsidRDefault="00B46279">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Post-traumatic stress disorder as a moderator of the relationship between anxiety sensitivity and substance use disorders</w:t>
      </w:r>
    </w:p>
    <w:p w14:paraId="18F73683" w14:textId="77777777" w:rsidR="00D90040" w:rsidRDefault="00D90040">
      <w:pPr>
        <w:spacing w:line="480" w:lineRule="auto"/>
        <w:rPr>
          <w:rFonts w:ascii="Times New Roman" w:eastAsia="Times New Roman" w:hAnsi="Times New Roman" w:cs="Times New Roman"/>
          <w:b/>
          <w:sz w:val="24"/>
          <w:szCs w:val="24"/>
        </w:rPr>
      </w:pPr>
    </w:p>
    <w:p w14:paraId="5EF30978" w14:textId="77777777" w:rsidR="00D90040" w:rsidRDefault="00D90040">
      <w:pPr>
        <w:spacing w:line="480" w:lineRule="auto"/>
        <w:rPr>
          <w:rFonts w:ascii="Times New Roman" w:eastAsia="Times New Roman" w:hAnsi="Times New Roman" w:cs="Times New Roman"/>
          <w:b/>
          <w:sz w:val="24"/>
          <w:szCs w:val="24"/>
        </w:rPr>
      </w:pPr>
    </w:p>
    <w:p w14:paraId="2CBF1E2E" w14:textId="77777777" w:rsidR="00D90040" w:rsidRDefault="00B46279">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Tolu Adetayo</w:t>
      </w:r>
    </w:p>
    <w:p w14:paraId="3AF59F88" w14:textId="77777777" w:rsidR="00D90040" w:rsidRDefault="00B46279">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Department of Psychology, University of Maryland, College Park</w:t>
      </w:r>
    </w:p>
    <w:p w14:paraId="7BF5EF8E" w14:textId="77777777" w:rsidR="00D90040" w:rsidRDefault="00D90040">
      <w:pPr>
        <w:jc w:val="center"/>
        <w:rPr>
          <w:rFonts w:ascii="Times New Roman" w:eastAsia="Times New Roman" w:hAnsi="Times New Roman" w:cs="Times New Roman"/>
          <w:b/>
          <w:sz w:val="24"/>
          <w:szCs w:val="24"/>
        </w:rPr>
      </w:pPr>
    </w:p>
    <w:p w14:paraId="24F421E9" w14:textId="77777777" w:rsidR="00D90040" w:rsidRDefault="00D90040">
      <w:pPr>
        <w:jc w:val="center"/>
        <w:rPr>
          <w:rFonts w:ascii="Times New Roman" w:eastAsia="Times New Roman" w:hAnsi="Times New Roman" w:cs="Times New Roman"/>
          <w:b/>
          <w:sz w:val="24"/>
          <w:szCs w:val="24"/>
        </w:rPr>
      </w:pPr>
    </w:p>
    <w:p w14:paraId="44C59CEB" w14:textId="77777777" w:rsidR="00D90040" w:rsidRDefault="00D90040">
      <w:pPr>
        <w:jc w:val="center"/>
        <w:rPr>
          <w:rFonts w:ascii="Times New Roman" w:eastAsia="Times New Roman" w:hAnsi="Times New Roman" w:cs="Times New Roman"/>
          <w:b/>
          <w:sz w:val="24"/>
          <w:szCs w:val="24"/>
        </w:rPr>
      </w:pPr>
    </w:p>
    <w:p w14:paraId="6C21C2D4" w14:textId="77777777" w:rsidR="00D90040" w:rsidRDefault="00D90040">
      <w:pPr>
        <w:jc w:val="center"/>
        <w:rPr>
          <w:rFonts w:ascii="Times New Roman" w:eastAsia="Times New Roman" w:hAnsi="Times New Roman" w:cs="Times New Roman"/>
          <w:b/>
          <w:sz w:val="24"/>
          <w:szCs w:val="24"/>
        </w:rPr>
      </w:pPr>
    </w:p>
    <w:p w14:paraId="663C2896" w14:textId="77777777" w:rsidR="00D90040" w:rsidRDefault="00D90040">
      <w:pPr>
        <w:rPr>
          <w:rFonts w:ascii="Times New Roman" w:eastAsia="Times New Roman" w:hAnsi="Times New Roman" w:cs="Times New Roman"/>
          <w:b/>
          <w:sz w:val="24"/>
          <w:szCs w:val="24"/>
        </w:rPr>
      </w:pPr>
    </w:p>
    <w:p w14:paraId="2CEE0026" w14:textId="77777777" w:rsidR="00D90040" w:rsidRDefault="00B46279">
      <w:pPr>
        <w:widowControl w:val="0"/>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Authors Note</w:t>
      </w:r>
    </w:p>
    <w:p w14:paraId="41887CBC" w14:textId="77777777" w:rsidR="00D90040" w:rsidRDefault="00B46279">
      <w:pPr>
        <w:widowControl w:val="0"/>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 xml:space="preserve">The current study was completed as an honors thesis for the Department of Psychology at the University of Maryland, College Park. The author would like to give a special thanks to Melanie </w:t>
      </w:r>
      <w:proofErr w:type="spellStart"/>
      <w:r>
        <w:rPr>
          <w:rFonts w:ascii="Times New Roman" w:eastAsia="Times New Roman" w:hAnsi="Times New Roman" w:cs="Times New Roman"/>
          <w:sz w:val="24"/>
          <w:szCs w:val="24"/>
        </w:rPr>
        <w:t>Arenson</w:t>
      </w:r>
      <w:proofErr w:type="spellEnd"/>
      <w:r>
        <w:rPr>
          <w:rFonts w:ascii="Times New Roman" w:eastAsia="Times New Roman" w:hAnsi="Times New Roman" w:cs="Times New Roman"/>
          <w:sz w:val="24"/>
          <w:szCs w:val="24"/>
        </w:rPr>
        <w:t xml:space="preserve"> for her consultation on methodologies and data analysis, as </w:t>
      </w:r>
      <w:r>
        <w:rPr>
          <w:rFonts w:ascii="Times New Roman" w:eastAsia="Times New Roman" w:hAnsi="Times New Roman" w:cs="Times New Roman"/>
          <w:sz w:val="24"/>
          <w:szCs w:val="24"/>
        </w:rPr>
        <w:t xml:space="preserve">well as Dr. Edward </w:t>
      </w:r>
      <w:proofErr w:type="spellStart"/>
      <w:r>
        <w:rPr>
          <w:rFonts w:ascii="Times New Roman" w:eastAsia="Times New Roman" w:hAnsi="Times New Roman" w:cs="Times New Roman"/>
          <w:sz w:val="24"/>
          <w:szCs w:val="24"/>
        </w:rPr>
        <w:t>Bernat</w:t>
      </w:r>
      <w:proofErr w:type="spellEnd"/>
      <w:r>
        <w:rPr>
          <w:rFonts w:ascii="Times New Roman" w:eastAsia="Times New Roman" w:hAnsi="Times New Roman" w:cs="Times New Roman"/>
          <w:sz w:val="24"/>
          <w:szCs w:val="24"/>
        </w:rPr>
        <w:t xml:space="preserve"> for his mentorship throughout this research project. Address correspondence to Tolu Adetayo; email: toluadetayo@hotmail.com </w:t>
      </w:r>
    </w:p>
    <w:p w14:paraId="2C26045A" w14:textId="77777777" w:rsidR="00D90040" w:rsidRDefault="00D90040">
      <w:pPr>
        <w:widowControl w:val="0"/>
        <w:spacing w:line="480" w:lineRule="auto"/>
        <w:rPr>
          <w:rFonts w:ascii="Times New Roman" w:eastAsia="Times New Roman" w:hAnsi="Times New Roman" w:cs="Times New Roman"/>
          <w:sz w:val="24"/>
          <w:szCs w:val="24"/>
        </w:rPr>
      </w:pPr>
    </w:p>
    <w:p w14:paraId="4981B22F" w14:textId="77777777" w:rsidR="00D90040" w:rsidRDefault="00D90040">
      <w:pPr>
        <w:widowControl w:val="0"/>
        <w:spacing w:line="480" w:lineRule="auto"/>
        <w:rPr>
          <w:rFonts w:ascii="Times New Roman" w:eastAsia="Times New Roman" w:hAnsi="Times New Roman" w:cs="Times New Roman"/>
          <w:sz w:val="24"/>
          <w:szCs w:val="24"/>
        </w:rPr>
      </w:pPr>
    </w:p>
    <w:p w14:paraId="0F9D857A" w14:textId="77777777" w:rsidR="00D90040" w:rsidRDefault="00D90040">
      <w:pPr>
        <w:widowControl w:val="0"/>
        <w:spacing w:line="480" w:lineRule="auto"/>
        <w:rPr>
          <w:rFonts w:ascii="Times New Roman" w:eastAsia="Times New Roman" w:hAnsi="Times New Roman" w:cs="Times New Roman"/>
          <w:sz w:val="24"/>
          <w:szCs w:val="24"/>
        </w:rPr>
      </w:pPr>
    </w:p>
    <w:p w14:paraId="291648FA" w14:textId="77777777" w:rsidR="00D90040" w:rsidRDefault="00D90040">
      <w:pPr>
        <w:widowControl w:val="0"/>
        <w:spacing w:line="480" w:lineRule="auto"/>
        <w:rPr>
          <w:rFonts w:ascii="Times New Roman" w:eastAsia="Times New Roman" w:hAnsi="Times New Roman" w:cs="Times New Roman"/>
          <w:sz w:val="24"/>
          <w:szCs w:val="24"/>
        </w:rPr>
      </w:pPr>
    </w:p>
    <w:p w14:paraId="56FA6660" w14:textId="77777777" w:rsidR="00245CF7" w:rsidRDefault="00245CF7">
      <w:pPr>
        <w:widowControl w:val="0"/>
        <w:spacing w:line="480" w:lineRule="auto"/>
        <w:jc w:val="center"/>
        <w:rPr>
          <w:rFonts w:ascii="Times New Roman" w:eastAsia="Times New Roman" w:hAnsi="Times New Roman" w:cs="Times New Roman"/>
          <w:b/>
          <w:sz w:val="24"/>
          <w:szCs w:val="24"/>
        </w:rPr>
      </w:pPr>
    </w:p>
    <w:p w14:paraId="5F365C9F" w14:textId="77777777" w:rsidR="00D90040" w:rsidRDefault="00B46279">
      <w:pPr>
        <w:widowControl w:val="0"/>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Abstract</w:t>
      </w:r>
    </w:p>
    <w:p w14:paraId="438C213E" w14:textId="77777777" w:rsidR="00D90040" w:rsidRDefault="00B46279">
      <w:pPr>
        <w:widowControl w:val="0"/>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Objective. </w:t>
      </w:r>
      <w:r>
        <w:rPr>
          <w:rFonts w:ascii="Times New Roman" w:eastAsia="Times New Roman" w:hAnsi="Times New Roman" w:cs="Times New Roman"/>
          <w:sz w:val="24"/>
          <w:szCs w:val="24"/>
        </w:rPr>
        <w:t>Epidemiological studies have shown that there is a high incidence of co-occurring</w:t>
      </w:r>
      <w:r>
        <w:rPr>
          <w:rFonts w:ascii="Times New Roman" w:eastAsia="Times New Roman" w:hAnsi="Times New Roman" w:cs="Times New Roman"/>
          <w:sz w:val="24"/>
          <w:szCs w:val="24"/>
        </w:rPr>
        <w:t xml:space="preserve"> PTSD and substance use disorders (SUDs). Given the numerous legal, social, psychological, and medical consequences associated with these two illnesses, it is important to determine clinical targets for them. Anxiety sensitivity (AS) may serve as such a ta</w:t>
      </w:r>
      <w:r>
        <w:rPr>
          <w:rFonts w:ascii="Times New Roman" w:eastAsia="Times New Roman" w:hAnsi="Times New Roman" w:cs="Times New Roman"/>
          <w:sz w:val="24"/>
          <w:szCs w:val="24"/>
        </w:rPr>
        <w:t>rget, as it is associated with both PTSD and SUDs. Furthermore, little is currently known about how AS and PTSD are associated with polysubstance use, and most of the existing literature focuses on nonclinical samples. The following study aims to address t</w:t>
      </w:r>
      <w:r>
        <w:rPr>
          <w:rFonts w:ascii="Times New Roman" w:eastAsia="Times New Roman" w:hAnsi="Times New Roman" w:cs="Times New Roman"/>
          <w:sz w:val="24"/>
          <w:szCs w:val="24"/>
        </w:rPr>
        <w:t>hese gaps by examining whether PTSD moderates the relationship between AS and SUDs</w:t>
      </w:r>
      <w:r>
        <w:rPr>
          <w:rFonts w:ascii="Times New Roman" w:eastAsia="Times New Roman" w:hAnsi="Times New Roman" w:cs="Times New Roman"/>
          <w:sz w:val="24"/>
          <w:szCs w:val="24"/>
        </w:rPr>
        <w:t xml:space="preserve">. </w:t>
      </w:r>
    </w:p>
    <w:p w14:paraId="71E42D6C" w14:textId="77777777" w:rsidR="00D90040" w:rsidRDefault="00B46279">
      <w:pPr>
        <w:widowControl w:val="0"/>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Method.  </w:t>
      </w:r>
      <w:r>
        <w:rPr>
          <w:rFonts w:ascii="Times New Roman" w:eastAsia="Times New Roman" w:hAnsi="Times New Roman" w:cs="Times New Roman"/>
          <w:sz w:val="24"/>
          <w:szCs w:val="24"/>
        </w:rPr>
        <w:t>2,617 clients at a residential treatment center completed a clinical intake interview. AS was assessed using the ASI, and current and lifetime SUDs and lifetime PTSD were assessed using the SCID-IV. Two-way ANCOVAs were used to investigate the relationship</w:t>
      </w:r>
      <w:r>
        <w:rPr>
          <w:rFonts w:ascii="Times New Roman" w:eastAsia="Times New Roman" w:hAnsi="Times New Roman" w:cs="Times New Roman"/>
          <w:sz w:val="24"/>
          <w:szCs w:val="24"/>
        </w:rPr>
        <w:t xml:space="preserve"> between SUDs, lifetime PTSD, and AS, after controlling for age, income, and gender.</w:t>
      </w:r>
    </w:p>
    <w:p w14:paraId="59AF89A2" w14:textId="77777777" w:rsidR="00D90040" w:rsidRDefault="00B46279">
      <w:pPr>
        <w:widowControl w:val="0"/>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Results. </w:t>
      </w:r>
      <w:r>
        <w:rPr>
          <w:rFonts w:ascii="Times New Roman" w:eastAsia="Times New Roman" w:hAnsi="Times New Roman" w:cs="Times New Roman"/>
          <w:sz w:val="24"/>
          <w:szCs w:val="24"/>
        </w:rPr>
        <w:t xml:space="preserve">AS was positively associated with both PTSD and SUDs. PTSD strengthened the positive association between AS and SUDs. Participants who met criteria for a greater </w:t>
      </w:r>
      <w:r>
        <w:rPr>
          <w:rFonts w:ascii="Times New Roman" w:eastAsia="Times New Roman" w:hAnsi="Times New Roman" w:cs="Times New Roman"/>
          <w:sz w:val="24"/>
          <w:szCs w:val="24"/>
        </w:rPr>
        <w:t xml:space="preserve">number of SUDs reported greater AS. </w:t>
      </w:r>
    </w:p>
    <w:p w14:paraId="3E40005E" w14:textId="77777777" w:rsidR="00D90040" w:rsidRDefault="00B46279">
      <w:pPr>
        <w:widowControl w:val="0"/>
        <w:spacing w:line="480" w:lineRule="auto"/>
        <w:rPr>
          <w:rFonts w:ascii="Times New Roman" w:eastAsia="Times New Roman" w:hAnsi="Times New Roman" w:cs="Times New Roman"/>
          <w:i/>
          <w:sz w:val="24"/>
          <w:szCs w:val="24"/>
        </w:rPr>
      </w:pPr>
      <w:r>
        <w:rPr>
          <w:rFonts w:ascii="Times New Roman" w:eastAsia="Times New Roman" w:hAnsi="Times New Roman" w:cs="Times New Roman"/>
          <w:b/>
          <w:sz w:val="24"/>
          <w:szCs w:val="24"/>
        </w:rPr>
        <w:t xml:space="preserve">Conclusions. </w:t>
      </w:r>
      <w:r>
        <w:rPr>
          <w:rFonts w:ascii="Times New Roman" w:eastAsia="Times New Roman" w:hAnsi="Times New Roman" w:cs="Times New Roman"/>
          <w:sz w:val="24"/>
          <w:szCs w:val="24"/>
        </w:rPr>
        <w:t xml:space="preserve">These results support the use of anxiety-sensitivity based interventions in treating PTSD and SUDs. </w:t>
      </w:r>
    </w:p>
    <w:p w14:paraId="385ADAEF" w14:textId="77777777" w:rsidR="00D90040" w:rsidRDefault="00B46279">
      <w:pPr>
        <w:widowControl w:val="0"/>
        <w:spacing w:line="48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Key words: </w:t>
      </w:r>
      <w:r>
        <w:rPr>
          <w:rFonts w:ascii="Times New Roman" w:eastAsia="Times New Roman" w:hAnsi="Times New Roman" w:cs="Times New Roman"/>
          <w:sz w:val="24"/>
          <w:szCs w:val="24"/>
        </w:rPr>
        <w:t>anxiety sensitivity, post-traumatic stress disorder, substance use disorders, substance depend</w:t>
      </w:r>
      <w:r>
        <w:rPr>
          <w:rFonts w:ascii="Times New Roman" w:eastAsia="Times New Roman" w:hAnsi="Times New Roman" w:cs="Times New Roman"/>
          <w:sz w:val="24"/>
          <w:szCs w:val="24"/>
        </w:rPr>
        <w:t>ence, substance abuse</w:t>
      </w:r>
    </w:p>
    <w:p w14:paraId="108DD2ED" w14:textId="77777777" w:rsidR="00D90040" w:rsidRDefault="00D90040">
      <w:pPr>
        <w:spacing w:line="240" w:lineRule="auto"/>
        <w:jc w:val="center"/>
        <w:rPr>
          <w:rFonts w:ascii="Times New Roman" w:eastAsia="Times New Roman" w:hAnsi="Times New Roman" w:cs="Times New Roman"/>
          <w:b/>
          <w:sz w:val="24"/>
          <w:szCs w:val="24"/>
        </w:rPr>
      </w:pPr>
    </w:p>
    <w:p w14:paraId="2BE1883E" w14:textId="77777777" w:rsidR="00D90040" w:rsidRDefault="00D90040">
      <w:pPr>
        <w:spacing w:line="240" w:lineRule="auto"/>
        <w:jc w:val="center"/>
        <w:rPr>
          <w:rFonts w:ascii="Times New Roman" w:eastAsia="Times New Roman" w:hAnsi="Times New Roman" w:cs="Times New Roman"/>
          <w:b/>
          <w:sz w:val="24"/>
          <w:szCs w:val="24"/>
        </w:rPr>
      </w:pPr>
    </w:p>
    <w:p w14:paraId="06348A91" w14:textId="77777777" w:rsidR="00D90040" w:rsidRDefault="00D90040">
      <w:pPr>
        <w:spacing w:line="240" w:lineRule="auto"/>
        <w:jc w:val="center"/>
        <w:rPr>
          <w:rFonts w:ascii="Times New Roman" w:eastAsia="Times New Roman" w:hAnsi="Times New Roman" w:cs="Times New Roman"/>
          <w:b/>
          <w:sz w:val="24"/>
          <w:szCs w:val="24"/>
        </w:rPr>
      </w:pPr>
    </w:p>
    <w:p w14:paraId="28B4A090" w14:textId="77777777" w:rsidR="00D90040" w:rsidRDefault="00D90040">
      <w:pPr>
        <w:spacing w:line="240" w:lineRule="auto"/>
        <w:jc w:val="center"/>
        <w:rPr>
          <w:rFonts w:ascii="Times New Roman" w:eastAsia="Times New Roman" w:hAnsi="Times New Roman" w:cs="Times New Roman"/>
          <w:b/>
          <w:sz w:val="24"/>
          <w:szCs w:val="24"/>
        </w:rPr>
      </w:pPr>
    </w:p>
    <w:p w14:paraId="34807D85" w14:textId="77777777" w:rsidR="00245CF7" w:rsidRDefault="00245CF7">
      <w:pPr>
        <w:spacing w:line="240" w:lineRule="auto"/>
        <w:jc w:val="center"/>
        <w:rPr>
          <w:rFonts w:ascii="Times New Roman" w:eastAsia="Times New Roman" w:hAnsi="Times New Roman" w:cs="Times New Roman"/>
          <w:b/>
          <w:sz w:val="24"/>
          <w:szCs w:val="24"/>
        </w:rPr>
      </w:pPr>
    </w:p>
    <w:p w14:paraId="405C1C8D" w14:textId="77777777" w:rsidR="00D90040" w:rsidRDefault="00B46279">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Post-traumatic stress disorder as a moderator of the relationship between anxiety sensitivity and substance use disorders</w:t>
      </w:r>
    </w:p>
    <w:p w14:paraId="28C020C5" w14:textId="77777777" w:rsidR="00D90040" w:rsidRDefault="00D90040">
      <w:pPr>
        <w:jc w:val="center"/>
        <w:rPr>
          <w:rFonts w:ascii="Times New Roman" w:eastAsia="Times New Roman" w:hAnsi="Times New Roman" w:cs="Times New Roman"/>
          <w:b/>
          <w:sz w:val="24"/>
          <w:szCs w:val="24"/>
        </w:rPr>
      </w:pPr>
    </w:p>
    <w:p w14:paraId="6DB5ED58" w14:textId="77777777" w:rsidR="00D90040" w:rsidRDefault="00B46279">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Introduction</w:t>
      </w:r>
    </w:p>
    <w:p w14:paraId="775F499E" w14:textId="77777777" w:rsidR="00D90040" w:rsidRDefault="00B46279">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Anxiety sensitivity (AS), defined as the fear of psychological, physiological, social, and co</w:t>
      </w:r>
      <w:r>
        <w:rPr>
          <w:rFonts w:ascii="Times New Roman" w:eastAsia="Times New Roman" w:hAnsi="Times New Roman" w:cs="Times New Roman"/>
          <w:sz w:val="24"/>
          <w:szCs w:val="24"/>
        </w:rPr>
        <w:t xml:space="preserve">gnitive anxiety-related symptoms, has been associated with PTSD and increased drug use (De Haas et al., 2001; </w:t>
      </w:r>
      <w:proofErr w:type="spellStart"/>
      <w:r>
        <w:rPr>
          <w:rFonts w:ascii="Times New Roman" w:eastAsia="Times New Roman" w:hAnsi="Times New Roman" w:cs="Times New Roman"/>
          <w:sz w:val="24"/>
          <w:szCs w:val="24"/>
        </w:rPr>
        <w:t>Lechner</w:t>
      </w:r>
      <w:proofErr w:type="spellEnd"/>
      <w:r>
        <w:rPr>
          <w:rFonts w:ascii="Times New Roman" w:eastAsia="Times New Roman" w:hAnsi="Times New Roman" w:cs="Times New Roman"/>
          <w:sz w:val="24"/>
          <w:szCs w:val="24"/>
        </w:rPr>
        <w:t xml:space="preserve"> et al., 2014; McHugh et al., 2017; Simpson et al., 2006; </w:t>
      </w:r>
      <w:proofErr w:type="spellStart"/>
      <w:r>
        <w:rPr>
          <w:rFonts w:ascii="Times New Roman" w:eastAsia="Times New Roman" w:hAnsi="Times New Roman" w:cs="Times New Roman"/>
          <w:sz w:val="24"/>
          <w:szCs w:val="24"/>
        </w:rPr>
        <w:t>Stathopoulou</w:t>
      </w:r>
      <w:proofErr w:type="spellEnd"/>
      <w:r>
        <w:rPr>
          <w:rFonts w:ascii="Times New Roman" w:eastAsia="Times New Roman" w:hAnsi="Times New Roman" w:cs="Times New Roman"/>
          <w:sz w:val="24"/>
          <w:szCs w:val="24"/>
        </w:rPr>
        <w:t xml:space="preserve"> et al., 2018; Stewart, 1996; Stewart et al., 1996). These studies su</w:t>
      </w:r>
      <w:r>
        <w:rPr>
          <w:rFonts w:ascii="Times New Roman" w:eastAsia="Times New Roman" w:hAnsi="Times New Roman" w:cs="Times New Roman"/>
          <w:sz w:val="24"/>
          <w:szCs w:val="24"/>
        </w:rPr>
        <w:t>ggest that anxiety sensitivity may be a risk factor for the development of PTSD and substance use disorders. However, no study has examined how PTSD and various SUDs influence AS. The following study aims to fill this gap by exploring the relationship betw</w:t>
      </w:r>
      <w:r>
        <w:rPr>
          <w:rFonts w:ascii="Times New Roman" w:eastAsia="Times New Roman" w:hAnsi="Times New Roman" w:cs="Times New Roman"/>
          <w:sz w:val="24"/>
          <w:szCs w:val="24"/>
        </w:rPr>
        <w:t>een anxiety sensitivity, PTSD, and substance dependence.</w:t>
      </w:r>
    </w:p>
    <w:p w14:paraId="1D982DF5" w14:textId="77777777" w:rsidR="00D90040" w:rsidRDefault="00B46279">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PTSD and SUDs</w:t>
      </w:r>
    </w:p>
    <w:p w14:paraId="7227D7B5" w14:textId="77777777" w:rsidR="00D90040" w:rsidRDefault="00B46279">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Substance use disorders (SUDs) often co-occur with posttraumatic stress disorder (PTSD); in fact, 46.4% of those with PTSD also meet criteria for a SUD and between 36% and  50% of thos</w:t>
      </w:r>
      <w:r>
        <w:rPr>
          <w:rFonts w:ascii="Times New Roman" w:eastAsia="Times New Roman" w:hAnsi="Times New Roman" w:cs="Times New Roman"/>
          <w:sz w:val="24"/>
          <w:szCs w:val="24"/>
        </w:rPr>
        <w:t xml:space="preserve">e with SUDs meet criteria for PTSD at some point in their lives (Jacobsen, Southwick, &amp; </w:t>
      </w:r>
      <w:proofErr w:type="spellStart"/>
      <w:r>
        <w:rPr>
          <w:rFonts w:ascii="Times New Roman" w:eastAsia="Times New Roman" w:hAnsi="Times New Roman" w:cs="Times New Roman"/>
          <w:sz w:val="24"/>
          <w:szCs w:val="24"/>
        </w:rPr>
        <w:t>Kosten</w:t>
      </w:r>
      <w:proofErr w:type="spellEnd"/>
      <w:r>
        <w:rPr>
          <w:rFonts w:ascii="Times New Roman" w:eastAsia="Times New Roman" w:hAnsi="Times New Roman" w:cs="Times New Roman"/>
          <w:sz w:val="24"/>
          <w:szCs w:val="24"/>
        </w:rPr>
        <w:t xml:space="preserve">, 2001; </w:t>
      </w:r>
      <w:proofErr w:type="spellStart"/>
      <w:r>
        <w:rPr>
          <w:rFonts w:ascii="Times New Roman" w:eastAsia="Times New Roman" w:hAnsi="Times New Roman" w:cs="Times New Roman"/>
          <w:sz w:val="24"/>
          <w:szCs w:val="24"/>
        </w:rPr>
        <w:t>Pietrzak</w:t>
      </w:r>
      <w:proofErr w:type="spellEnd"/>
      <w:r>
        <w:rPr>
          <w:rFonts w:ascii="Times New Roman" w:eastAsia="Times New Roman" w:hAnsi="Times New Roman" w:cs="Times New Roman"/>
          <w:sz w:val="24"/>
          <w:szCs w:val="24"/>
        </w:rPr>
        <w:t xml:space="preserve"> et al., 2011; Stewart et al., 1996). While individually these diseases pose substantial challenges to daily activities, the combination of PTSD a</w:t>
      </w:r>
      <w:r>
        <w:rPr>
          <w:rFonts w:ascii="Times New Roman" w:eastAsia="Times New Roman" w:hAnsi="Times New Roman" w:cs="Times New Roman"/>
          <w:sz w:val="24"/>
          <w:szCs w:val="24"/>
        </w:rPr>
        <w:t xml:space="preserve">nd SUDs can lead to even greater medical, legal, and social complications </w:t>
      </w:r>
      <w:r>
        <w:rPr>
          <w:rFonts w:ascii="Times New Roman" w:eastAsia="Times New Roman" w:hAnsi="Times New Roman" w:cs="Times New Roman"/>
          <w:sz w:val="24"/>
          <w:szCs w:val="24"/>
          <w:highlight w:val="white"/>
        </w:rPr>
        <w:t>(McDevitt-Murphy et al., 2010; Tate et al., 2007). Furthermore, evidence suggests that those meeting criteria for both disorders show greater symptom severity (</w:t>
      </w:r>
      <w:r>
        <w:rPr>
          <w:rFonts w:ascii="Times New Roman" w:eastAsia="Times New Roman" w:hAnsi="Times New Roman" w:cs="Times New Roman"/>
          <w:sz w:val="24"/>
          <w:szCs w:val="24"/>
        </w:rPr>
        <w:t xml:space="preserve">Stewart, 1996; </w:t>
      </w:r>
      <w:proofErr w:type="spellStart"/>
      <w:r>
        <w:rPr>
          <w:rFonts w:ascii="Times New Roman" w:eastAsia="Times New Roman" w:hAnsi="Times New Roman" w:cs="Times New Roman"/>
          <w:sz w:val="24"/>
          <w:szCs w:val="24"/>
        </w:rPr>
        <w:t>Gilliha</w:t>
      </w:r>
      <w:r>
        <w:rPr>
          <w:rFonts w:ascii="Times New Roman" w:eastAsia="Times New Roman" w:hAnsi="Times New Roman" w:cs="Times New Roman"/>
          <w:sz w:val="24"/>
          <w:szCs w:val="24"/>
        </w:rPr>
        <w:t>n</w:t>
      </w:r>
      <w:proofErr w:type="spellEnd"/>
      <w:r>
        <w:rPr>
          <w:rFonts w:ascii="Times New Roman" w:eastAsia="Times New Roman" w:hAnsi="Times New Roman" w:cs="Times New Roman"/>
          <w:sz w:val="24"/>
          <w:szCs w:val="24"/>
        </w:rPr>
        <w:t xml:space="preserve"> et al., 201l; McHugh et al., 2017). For example, more severe PTSD symptoms are associated with heavier drinking and increased alcohol cravings in the presence of trauma cues for those with PTSD (</w:t>
      </w:r>
      <w:proofErr w:type="spellStart"/>
      <w:r>
        <w:rPr>
          <w:rFonts w:ascii="Times New Roman" w:eastAsia="Times New Roman" w:hAnsi="Times New Roman" w:cs="Times New Roman"/>
          <w:sz w:val="24"/>
          <w:szCs w:val="24"/>
        </w:rPr>
        <w:t>Gillihan</w:t>
      </w:r>
      <w:proofErr w:type="spellEnd"/>
      <w:r>
        <w:rPr>
          <w:rFonts w:ascii="Times New Roman" w:eastAsia="Times New Roman" w:hAnsi="Times New Roman" w:cs="Times New Roman"/>
          <w:sz w:val="24"/>
          <w:szCs w:val="24"/>
        </w:rPr>
        <w:t xml:space="preserve"> et al., 2011; McHugh et al., 2017; Coffey et al., </w:t>
      </w:r>
      <w:r>
        <w:rPr>
          <w:rFonts w:ascii="Times New Roman" w:eastAsia="Times New Roman" w:hAnsi="Times New Roman" w:cs="Times New Roman"/>
          <w:sz w:val="24"/>
          <w:szCs w:val="24"/>
        </w:rPr>
        <w:t xml:space="preserve">2002). PTSD has also been linked to increased cocaine and </w:t>
      </w:r>
      <w:r>
        <w:rPr>
          <w:rFonts w:ascii="Times New Roman" w:eastAsia="Times New Roman" w:hAnsi="Times New Roman" w:cs="Times New Roman"/>
          <w:sz w:val="24"/>
          <w:szCs w:val="24"/>
        </w:rPr>
        <w:lastRenderedPageBreak/>
        <w:t>cannabis cravings when participants were presented with their trauma cues, whether or not the drug cue was also present (</w:t>
      </w:r>
      <w:proofErr w:type="spellStart"/>
      <w:r>
        <w:rPr>
          <w:rFonts w:ascii="Times New Roman" w:eastAsia="Times New Roman" w:hAnsi="Times New Roman" w:cs="Times New Roman"/>
          <w:sz w:val="24"/>
          <w:szCs w:val="24"/>
        </w:rPr>
        <w:t>Berenz</w:t>
      </w:r>
      <w:proofErr w:type="spellEnd"/>
      <w:r>
        <w:rPr>
          <w:rFonts w:ascii="Times New Roman" w:eastAsia="Times New Roman" w:hAnsi="Times New Roman" w:cs="Times New Roman"/>
          <w:sz w:val="24"/>
          <w:szCs w:val="24"/>
        </w:rPr>
        <w:t xml:space="preserve"> &amp; Coffey, 2012; Coffey et al., 2002; </w:t>
      </w:r>
      <w:proofErr w:type="spellStart"/>
      <w:r>
        <w:rPr>
          <w:rFonts w:ascii="Times New Roman" w:eastAsia="Times New Roman" w:hAnsi="Times New Roman" w:cs="Times New Roman"/>
          <w:sz w:val="24"/>
          <w:szCs w:val="24"/>
        </w:rPr>
        <w:t>Hindocha</w:t>
      </w:r>
      <w:proofErr w:type="spellEnd"/>
      <w:r>
        <w:rPr>
          <w:rFonts w:ascii="Times New Roman" w:eastAsia="Times New Roman" w:hAnsi="Times New Roman" w:cs="Times New Roman"/>
          <w:sz w:val="24"/>
          <w:szCs w:val="24"/>
        </w:rPr>
        <w:t xml:space="preserve"> et al., 2019).</w:t>
      </w:r>
    </w:p>
    <w:p w14:paraId="7D8B346F" w14:textId="77777777" w:rsidR="00D90040" w:rsidRDefault="00B46279">
      <w:pPr>
        <w:spacing w:line="480" w:lineRule="auto"/>
        <w:rPr>
          <w:rFonts w:ascii="Times New Roman" w:eastAsia="Times New Roman" w:hAnsi="Times New Roman" w:cs="Times New Roman"/>
          <w:sz w:val="24"/>
          <w:szCs w:val="24"/>
          <w:shd w:val="clear" w:color="auto" w:fill="D9D2E9"/>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The Self Medication Hypothesis may explain the high co-occurrence rates of PTSD and SUDs. This theory posits that individuals use drugs to relieve negative affect, which is higher in those with PTSD (</w:t>
      </w:r>
      <w:proofErr w:type="spellStart"/>
      <w:r>
        <w:rPr>
          <w:rFonts w:ascii="Times New Roman" w:eastAsia="Times New Roman" w:hAnsi="Times New Roman" w:cs="Times New Roman"/>
          <w:color w:val="212121"/>
          <w:sz w:val="24"/>
          <w:szCs w:val="24"/>
          <w:highlight w:val="white"/>
        </w:rPr>
        <w:t>Khantzian</w:t>
      </w:r>
      <w:proofErr w:type="spellEnd"/>
      <w:r>
        <w:rPr>
          <w:rFonts w:ascii="Times New Roman" w:eastAsia="Times New Roman" w:hAnsi="Times New Roman" w:cs="Times New Roman"/>
          <w:color w:val="212121"/>
          <w:sz w:val="24"/>
          <w:szCs w:val="24"/>
          <w:highlight w:val="white"/>
        </w:rPr>
        <w:t xml:space="preserve">, 1997; </w:t>
      </w:r>
      <w:proofErr w:type="spellStart"/>
      <w:r>
        <w:rPr>
          <w:rFonts w:ascii="Times New Roman" w:eastAsia="Times New Roman" w:hAnsi="Times New Roman" w:cs="Times New Roman"/>
          <w:color w:val="1C1D1E"/>
          <w:sz w:val="24"/>
          <w:szCs w:val="24"/>
          <w:highlight w:val="white"/>
        </w:rPr>
        <w:t>Leeies</w:t>
      </w:r>
      <w:proofErr w:type="spellEnd"/>
      <w:r>
        <w:rPr>
          <w:rFonts w:ascii="Times New Roman" w:eastAsia="Times New Roman" w:hAnsi="Times New Roman" w:cs="Times New Roman"/>
          <w:color w:val="1C1D1E"/>
          <w:sz w:val="24"/>
          <w:szCs w:val="24"/>
          <w:highlight w:val="white"/>
        </w:rPr>
        <w:t>, 2010</w:t>
      </w:r>
      <w:r>
        <w:rPr>
          <w:rFonts w:ascii="Times New Roman" w:eastAsia="Times New Roman" w:hAnsi="Times New Roman" w:cs="Times New Roman"/>
          <w:color w:val="212121"/>
          <w:sz w:val="24"/>
          <w:szCs w:val="24"/>
          <w:highlight w:val="white"/>
        </w:rPr>
        <w:t>)</w:t>
      </w:r>
      <w:r>
        <w:rPr>
          <w:rFonts w:ascii="Times New Roman" w:eastAsia="Times New Roman" w:hAnsi="Times New Roman" w:cs="Times New Roman"/>
          <w:sz w:val="24"/>
          <w:szCs w:val="24"/>
        </w:rPr>
        <w:t>. For example, Stewart (19</w:t>
      </w:r>
      <w:r>
        <w:rPr>
          <w:rFonts w:ascii="Times New Roman" w:eastAsia="Times New Roman" w:hAnsi="Times New Roman" w:cs="Times New Roman"/>
          <w:sz w:val="24"/>
          <w:szCs w:val="24"/>
        </w:rPr>
        <w:t>96) theorized that alcohol dampened hyperarousal, reduced the desire to avoid trauma triggers, and inhibited intrusive thoughts characteristic of PTSD. In their study, Bonn-Miller and colleagues (2011) found support for this theory by assessing motives for</w:t>
      </w:r>
      <w:r>
        <w:rPr>
          <w:rFonts w:ascii="Times New Roman" w:eastAsia="Times New Roman" w:hAnsi="Times New Roman" w:cs="Times New Roman"/>
          <w:sz w:val="24"/>
          <w:szCs w:val="24"/>
        </w:rPr>
        <w:t xml:space="preserve"> marijuana use, suggesting that PTSD increased emotional dysregulation, which then led to increased marijuana use to cope with those negative emotions (2011). Pharmacological evidence further supports these self-reported findings, as traumatic stress was s</w:t>
      </w:r>
      <w:r>
        <w:rPr>
          <w:rFonts w:ascii="Times New Roman" w:eastAsia="Times New Roman" w:hAnsi="Times New Roman" w:cs="Times New Roman"/>
          <w:sz w:val="24"/>
          <w:szCs w:val="24"/>
        </w:rPr>
        <w:t>hown to alter dopamine levels in the mesolimbic pathway in rodents (</w:t>
      </w:r>
      <w:proofErr w:type="spellStart"/>
      <w:r>
        <w:rPr>
          <w:rFonts w:ascii="Times New Roman" w:eastAsia="Times New Roman" w:hAnsi="Times New Roman" w:cs="Times New Roman"/>
          <w:sz w:val="24"/>
          <w:szCs w:val="24"/>
        </w:rPr>
        <w:t>Brodnik</w:t>
      </w:r>
      <w:proofErr w:type="spellEnd"/>
      <w:r>
        <w:rPr>
          <w:rFonts w:ascii="Times New Roman" w:eastAsia="Times New Roman" w:hAnsi="Times New Roman" w:cs="Times New Roman"/>
          <w:sz w:val="24"/>
          <w:szCs w:val="24"/>
        </w:rPr>
        <w:t xml:space="preserve"> et al., 2017). Consequently, rats susceptible to stress felt stronger dopaminergic effects of cocaine, resulting in higher levels of cocaine </w:t>
      </w:r>
      <w:proofErr w:type="spellStart"/>
      <w:r>
        <w:rPr>
          <w:rFonts w:ascii="Times New Roman" w:eastAsia="Times New Roman" w:hAnsi="Times New Roman" w:cs="Times New Roman"/>
          <w:sz w:val="24"/>
          <w:szCs w:val="24"/>
        </w:rPr>
        <w:t>self-administration;resilient</w:t>
      </w:r>
      <w:proofErr w:type="spellEnd"/>
      <w:r>
        <w:rPr>
          <w:rFonts w:ascii="Times New Roman" w:eastAsia="Times New Roman" w:hAnsi="Times New Roman" w:cs="Times New Roman"/>
          <w:sz w:val="24"/>
          <w:szCs w:val="24"/>
        </w:rPr>
        <w:t xml:space="preserve"> rats, how</w:t>
      </w:r>
      <w:r>
        <w:rPr>
          <w:rFonts w:ascii="Times New Roman" w:eastAsia="Times New Roman" w:hAnsi="Times New Roman" w:cs="Times New Roman"/>
          <w:sz w:val="24"/>
          <w:szCs w:val="24"/>
        </w:rPr>
        <w:t>ever, showed no difference in their motivation to use cocaine, indicating that PTSD may exacerbate one’s vulnerability to developing a SUD (</w:t>
      </w:r>
      <w:proofErr w:type="spellStart"/>
      <w:r>
        <w:rPr>
          <w:rFonts w:ascii="Times New Roman" w:eastAsia="Times New Roman" w:hAnsi="Times New Roman" w:cs="Times New Roman"/>
          <w:sz w:val="24"/>
          <w:szCs w:val="24"/>
        </w:rPr>
        <w:t>Brodnik</w:t>
      </w:r>
      <w:proofErr w:type="spellEnd"/>
      <w:r>
        <w:rPr>
          <w:rFonts w:ascii="Times New Roman" w:eastAsia="Times New Roman" w:hAnsi="Times New Roman" w:cs="Times New Roman"/>
          <w:sz w:val="24"/>
          <w:szCs w:val="24"/>
        </w:rPr>
        <w:t xml:space="preserve"> et al., 2017). </w:t>
      </w:r>
    </w:p>
    <w:p w14:paraId="606785ED" w14:textId="77777777" w:rsidR="00D90040" w:rsidRDefault="00B46279">
      <w:pPr>
        <w:pStyle w:val="Subtitle"/>
        <w:rPr>
          <w:rFonts w:ascii="Times New Roman" w:eastAsia="Times New Roman" w:hAnsi="Times New Roman" w:cs="Times New Roman"/>
          <w:i/>
          <w:color w:val="000000"/>
          <w:sz w:val="24"/>
          <w:szCs w:val="24"/>
        </w:rPr>
      </w:pPr>
      <w:bookmarkStart w:id="0" w:name="_9j7kc4931gau" w:colFirst="0" w:colLast="0"/>
      <w:bookmarkEnd w:id="0"/>
      <w:r>
        <w:rPr>
          <w:rFonts w:ascii="Times New Roman" w:eastAsia="Times New Roman" w:hAnsi="Times New Roman" w:cs="Times New Roman"/>
          <w:i/>
          <w:color w:val="000000"/>
          <w:sz w:val="24"/>
          <w:szCs w:val="24"/>
        </w:rPr>
        <w:t>PTSD and AS</w:t>
      </w:r>
    </w:p>
    <w:p w14:paraId="7E89BBD2" w14:textId="77777777" w:rsidR="00D90040" w:rsidRDefault="00B46279">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Distinct from anxiety, anxiety sensitivity has been highlighted as a potential </w:t>
      </w:r>
      <w:r>
        <w:rPr>
          <w:rFonts w:ascii="Times New Roman" w:eastAsia="Times New Roman" w:hAnsi="Times New Roman" w:cs="Times New Roman"/>
          <w:sz w:val="24"/>
          <w:szCs w:val="24"/>
        </w:rPr>
        <w:t>marker of general psychopathology (Lang et al., 2002). For example, research has shown that individuals with high AS are likely to perceive anxiety-related sensations such as sweating or a quickening heartbeat as dangerous, regardless of the existence of a</w:t>
      </w:r>
      <w:r>
        <w:rPr>
          <w:rFonts w:ascii="Times New Roman" w:eastAsia="Times New Roman" w:hAnsi="Times New Roman" w:cs="Times New Roman"/>
          <w:sz w:val="24"/>
          <w:szCs w:val="24"/>
        </w:rPr>
        <w:t>n actual threat. Consequently, this may lead to heightened anxiety and vulnerability to other internalizing disorders (</w:t>
      </w:r>
      <w:r>
        <w:rPr>
          <w:rFonts w:ascii="Times New Roman" w:eastAsia="Times New Roman" w:hAnsi="Times New Roman" w:cs="Times New Roman"/>
          <w:sz w:val="24"/>
          <w:szCs w:val="24"/>
          <w:highlight w:val="white"/>
        </w:rPr>
        <w:t xml:space="preserve">McLaughlin &amp; </w:t>
      </w:r>
      <w:proofErr w:type="spellStart"/>
      <w:r>
        <w:rPr>
          <w:rFonts w:ascii="Times New Roman" w:eastAsia="Times New Roman" w:hAnsi="Times New Roman" w:cs="Times New Roman"/>
          <w:sz w:val="24"/>
          <w:szCs w:val="24"/>
          <w:highlight w:val="white"/>
        </w:rPr>
        <w:t>Hatzenbuehler</w:t>
      </w:r>
      <w:proofErr w:type="spellEnd"/>
      <w:r>
        <w:rPr>
          <w:rFonts w:ascii="Times New Roman" w:eastAsia="Times New Roman" w:hAnsi="Times New Roman" w:cs="Times New Roman"/>
          <w:sz w:val="24"/>
          <w:szCs w:val="24"/>
        </w:rPr>
        <w:t>, 2009). In particular, there is extensive evidence supporting a strong relationship between PTSD and AS (</w:t>
      </w:r>
      <w:proofErr w:type="spellStart"/>
      <w:r>
        <w:rPr>
          <w:rFonts w:ascii="Times New Roman" w:eastAsia="Times New Roman" w:hAnsi="Times New Roman" w:cs="Times New Roman"/>
          <w:sz w:val="24"/>
          <w:szCs w:val="24"/>
        </w:rPr>
        <w:t>Gilli</w:t>
      </w:r>
      <w:r>
        <w:rPr>
          <w:rFonts w:ascii="Times New Roman" w:eastAsia="Times New Roman" w:hAnsi="Times New Roman" w:cs="Times New Roman"/>
          <w:sz w:val="24"/>
          <w:szCs w:val="24"/>
        </w:rPr>
        <w:t>han</w:t>
      </w:r>
      <w:proofErr w:type="spellEnd"/>
      <w:r>
        <w:rPr>
          <w:rFonts w:ascii="Times New Roman" w:eastAsia="Times New Roman" w:hAnsi="Times New Roman" w:cs="Times New Roman"/>
          <w:sz w:val="24"/>
          <w:szCs w:val="24"/>
        </w:rPr>
        <w:t xml:space="preserve">, et al., 2011; Lang et al., 2002; Simpson et al., 2006). In fact, </w:t>
      </w:r>
      <w:r>
        <w:rPr>
          <w:rFonts w:ascii="Times New Roman" w:eastAsia="Times New Roman" w:hAnsi="Times New Roman" w:cs="Times New Roman"/>
          <w:sz w:val="24"/>
          <w:szCs w:val="24"/>
        </w:rPr>
        <w:lastRenderedPageBreak/>
        <w:t>studies have shown a correlation not just between AS and overall PTSD symptoms, but also between AS and each of the DSM-IV PTSD symptom clusters (avoidance, hyperarousal, and re-experien</w:t>
      </w:r>
      <w:r>
        <w:rPr>
          <w:rFonts w:ascii="Times New Roman" w:eastAsia="Times New Roman" w:hAnsi="Times New Roman" w:cs="Times New Roman"/>
          <w:sz w:val="24"/>
          <w:szCs w:val="24"/>
        </w:rPr>
        <w:t xml:space="preserve">cing; </w:t>
      </w:r>
      <w:proofErr w:type="spellStart"/>
      <w:r>
        <w:rPr>
          <w:rFonts w:ascii="Times New Roman" w:eastAsia="Times New Roman" w:hAnsi="Times New Roman" w:cs="Times New Roman"/>
          <w:sz w:val="24"/>
          <w:szCs w:val="24"/>
        </w:rPr>
        <w:t>Gillihan</w:t>
      </w:r>
      <w:proofErr w:type="spellEnd"/>
      <w:r>
        <w:rPr>
          <w:rFonts w:ascii="Times New Roman" w:eastAsia="Times New Roman" w:hAnsi="Times New Roman" w:cs="Times New Roman"/>
          <w:sz w:val="24"/>
          <w:szCs w:val="24"/>
        </w:rPr>
        <w:t>, et al., 2011; Lang et al., 2002). Similarly, PTSD symptom severity is strongly linked to AS (Simpson et al., 2006).</w:t>
      </w:r>
    </w:p>
    <w:p w14:paraId="04F7689F" w14:textId="77777777" w:rsidR="00D90040" w:rsidRDefault="00B46279">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Interestingly, evidence suggests that the association between PTSD and AS found in the aforementioned studies is due to the </w:t>
      </w:r>
      <w:r>
        <w:rPr>
          <w:rFonts w:ascii="Times New Roman" w:eastAsia="Times New Roman" w:hAnsi="Times New Roman" w:cs="Times New Roman"/>
          <w:sz w:val="24"/>
          <w:szCs w:val="24"/>
        </w:rPr>
        <w:t>underlying trauma, not the development of PTSD.  In one study, AS did not differ between those who had simply experienced a traumatic event and those who had actually developed PTSD (Lang et al., 2002). Thus, it is possible that traumatic events predict hi</w:t>
      </w:r>
      <w:r>
        <w:rPr>
          <w:rFonts w:ascii="Times New Roman" w:eastAsia="Times New Roman" w:hAnsi="Times New Roman" w:cs="Times New Roman"/>
          <w:sz w:val="24"/>
          <w:szCs w:val="24"/>
        </w:rPr>
        <w:t xml:space="preserve">gh AS, regardless of whether or not the individual later develops PTSD. This conclusion is further supported by </w:t>
      </w:r>
      <w:r>
        <w:rPr>
          <w:rFonts w:ascii="Times New Roman" w:eastAsia="Times New Roman" w:hAnsi="Times New Roman" w:cs="Times New Roman"/>
          <w:sz w:val="24"/>
          <w:szCs w:val="24"/>
          <w:highlight w:val="white"/>
        </w:rPr>
        <w:t>McHugh and colleagues  (2017) who found that while AS was associated with a greater emotional reactivity in response to personally relevant trau</w:t>
      </w:r>
      <w:r>
        <w:rPr>
          <w:rFonts w:ascii="Times New Roman" w:eastAsia="Times New Roman" w:hAnsi="Times New Roman" w:cs="Times New Roman"/>
          <w:sz w:val="24"/>
          <w:szCs w:val="24"/>
          <w:highlight w:val="white"/>
        </w:rPr>
        <w:t xml:space="preserve">ma cues, this relationship was </w:t>
      </w:r>
      <w:r>
        <w:rPr>
          <w:rFonts w:ascii="Times New Roman" w:eastAsia="Times New Roman" w:hAnsi="Times New Roman" w:cs="Times New Roman"/>
          <w:i/>
          <w:sz w:val="24"/>
          <w:szCs w:val="24"/>
          <w:highlight w:val="white"/>
        </w:rPr>
        <w:t>not</w:t>
      </w:r>
      <w:r>
        <w:rPr>
          <w:rFonts w:ascii="Times New Roman" w:eastAsia="Times New Roman" w:hAnsi="Times New Roman" w:cs="Times New Roman"/>
          <w:sz w:val="24"/>
          <w:szCs w:val="24"/>
          <w:highlight w:val="white"/>
        </w:rPr>
        <w:t xml:space="preserve"> moderated by PTSD.</w:t>
      </w:r>
    </w:p>
    <w:p w14:paraId="22753CA8" w14:textId="77777777" w:rsidR="00D90040" w:rsidRDefault="00B46279">
      <w:pPr>
        <w:rPr>
          <w:rFonts w:ascii="Times New Roman" w:eastAsia="Times New Roman" w:hAnsi="Times New Roman" w:cs="Times New Roman"/>
          <w:i/>
          <w:sz w:val="24"/>
          <w:szCs w:val="24"/>
          <w:highlight w:val="white"/>
        </w:rPr>
      </w:pPr>
      <w:r>
        <w:rPr>
          <w:rFonts w:ascii="Times New Roman" w:eastAsia="Times New Roman" w:hAnsi="Times New Roman" w:cs="Times New Roman"/>
          <w:i/>
          <w:sz w:val="24"/>
          <w:szCs w:val="24"/>
          <w:highlight w:val="white"/>
        </w:rPr>
        <w:t>AS and SUDs</w:t>
      </w:r>
    </w:p>
    <w:p w14:paraId="06A4C8E9" w14:textId="77777777" w:rsidR="00D90040" w:rsidRDefault="00B46279">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highlight w:val="white"/>
        </w:rPr>
        <w:t>As with PTSD, evidence suggests a strong relationship between AS and substance use, although that relationship can vary based on the substance being used. In most cases, AS is associated with increased drug cravings and consumption, indicating that high AS</w:t>
      </w:r>
      <w:r>
        <w:rPr>
          <w:rFonts w:ascii="Times New Roman" w:eastAsia="Times New Roman" w:hAnsi="Times New Roman" w:cs="Times New Roman"/>
          <w:sz w:val="24"/>
          <w:szCs w:val="24"/>
          <w:highlight w:val="white"/>
        </w:rPr>
        <w:t xml:space="preserve"> may increase one’s susceptibility to developing a SUD </w:t>
      </w:r>
      <w:r>
        <w:rPr>
          <w:rFonts w:ascii="Times New Roman" w:eastAsia="Times New Roman" w:hAnsi="Times New Roman" w:cs="Times New Roman"/>
          <w:sz w:val="24"/>
          <w:szCs w:val="24"/>
        </w:rPr>
        <w:t xml:space="preserve">(Bonn-Miller et al., 2011; Novak et al., 2003; </w:t>
      </w:r>
      <w:proofErr w:type="spellStart"/>
      <w:r>
        <w:rPr>
          <w:rFonts w:ascii="Times New Roman" w:eastAsia="Times New Roman" w:hAnsi="Times New Roman" w:cs="Times New Roman"/>
          <w:sz w:val="24"/>
          <w:szCs w:val="24"/>
        </w:rPr>
        <w:t>Stathopoulou</w:t>
      </w:r>
      <w:proofErr w:type="spellEnd"/>
      <w:r>
        <w:rPr>
          <w:rFonts w:ascii="Times New Roman" w:eastAsia="Times New Roman" w:hAnsi="Times New Roman" w:cs="Times New Roman"/>
          <w:sz w:val="24"/>
          <w:szCs w:val="24"/>
        </w:rPr>
        <w:t xml:space="preserve"> et al., 2018; Stewart et al., 1996). However, there is a small amount of evidence suggesting the opposite, as research on alcohol consumption</w:t>
      </w:r>
      <w:r>
        <w:rPr>
          <w:rFonts w:ascii="Times New Roman" w:eastAsia="Times New Roman" w:hAnsi="Times New Roman" w:cs="Times New Roman"/>
          <w:sz w:val="24"/>
          <w:szCs w:val="24"/>
        </w:rPr>
        <w:t xml:space="preserve"> is varied (Novak et al., 2003). </w:t>
      </w:r>
    </w:p>
    <w:p w14:paraId="7ABC37E1" w14:textId="77777777" w:rsidR="00D90040" w:rsidRDefault="00B46279">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While Novak and colleagues (2003) </w:t>
      </w:r>
      <w:r>
        <w:rPr>
          <w:rFonts w:ascii="Times New Roman" w:eastAsia="Times New Roman" w:hAnsi="Times New Roman" w:cs="Times New Roman"/>
          <w:sz w:val="24"/>
          <w:szCs w:val="24"/>
        </w:rPr>
        <w:t xml:space="preserve">failed to find a relationship between AS and drinking behavior, the majority of studies clearly link AS to increased alcohol consumption (De Haas et al., 2001; </w:t>
      </w:r>
      <w:proofErr w:type="spellStart"/>
      <w:r>
        <w:rPr>
          <w:rFonts w:ascii="Times New Roman" w:eastAsia="Times New Roman" w:hAnsi="Times New Roman" w:cs="Times New Roman"/>
          <w:sz w:val="24"/>
          <w:szCs w:val="24"/>
        </w:rPr>
        <w:t>Gillihan</w:t>
      </w:r>
      <w:proofErr w:type="spellEnd"/>
      <w:r>
        <w:rPr>
          <w:rFonts w:ascii="Times New Roman" w:eastAsia="Times New Roman" w:hAnsi="Times New Roman" w:cs="Times New Roman"/>
          <w:sz w:val="24"/>
          <w:szCs w:val="24"/>
        </w:rPr>
        <w:t xml:space="preserve"> et al., 2011; </w:t>
      </w:r>
      <w:proofErr w:type="spellStart"/>
      <w:r>
        <w:rPr>
          <w:rFonts w:ascii="Times New Roman" w:eastAsia="Times New Roman" w:hAnsi="Times New Roman" w:cs="Times New Roman"/>
          <w:sz w:val="24"/>
          <w:szCs w:val="24"/>
        </w:rPr>
        <w:t>Lechn</w:t>
      </w:r>
      <w:r>
        <w:rPr>
          <w:rFonts w:ascii="Times New Roman" w:eastAsia="Times New Roman" w:hAnsi="Times New Roman" w:cs="Times New Roman"/>
          <w:sz w:val="24"/>
          <w:szCs w:val="24"/>
        </w:rPr>
        <w:t>er</w:t>
      </w:r>
      <w:proofErr w:type="spellEnd"/>
      <w:r>
        <w:rPr>
          <w:rFonts w:ascii="Times New Roman" w:eastAsia="Times New Roman" w:hAnsi="Times New Roman" w:cs="Times New Roman"/>
          <w:sz w:val="24"/>
          <w:szCs w:val="24"/>
        </w:rPr>
        <w:t xml:space="preserve"> et al., 2014). It is possible that this discrepancy can be explained by racial differences in alcohol intake, as Novak and colleagues (2003) had a majority White sample, while most of </w:t>
      </w:r>
      <w:proofErr w:type="spellStart"/>
      <w:r>
        <w:rPr>
          <w:rFonts w:ascii="Times New Roman" w:eastAsia="Times New Roman" w:hAnsi="Times New Roman" w:cs="Times New Roman"/>
          <w:sz w:val="24"/>
          <w:szCs w:val="24"/>
        </w:rPr>
        <w:t>Lechner</w:t>
      </w:r>
      <w:proofErr w:type="spellEnd"/>
      <w:r>
        <w:rPr>
          <w:rFonts w:ascii="Times New Roman" w:eastAsia="Times New Roman" w:hAnsi="Times New Roman" w:cs="Times New Roman"/>
          <w:sz w:val="24"/>
          <w:szCs w:val="24"/>
        </w:rPr>
        <w:t xml:space="preserve"> and colleagues’ (2014) participants were Black. </w:t>
      </w:r>
      <w:r>
        <w:rPr>
          <w:rFonts w:ascii="Times New Roman" w:eastAsia="Times New Roman" w:hAnsi="Times New Roman" w:cs="Times New Roman"/>
          <w:sz w:val="24"/>
          <w:szCs w:val="24"/>
        </w:rPr>
        <w:lastRenderedPageBreak/>
        <w:t>Regardless, p</w:t>
      </w:r>
      <w:r>
        <w:rPr>
          <w:rFonts w:ascii="Times New Roman" w:eastAsia="Times New Roman" w:hAnsi="Times New Roman" w:cs="Times New Roman"/>
          <w:sz w:val="24"/>
          <w:szCs w:val="24"/>
        </w:rPr>
        <w:t xml:space="preserve">hysiological and self-report questionnaires reveal that those with high AS use drinking as a means of coping </w:t>
      </w:r>
      <w:r>
        <w:rPr>
          <w:rFonts w:ascii="Times New Roman" w:eastAsia="Times New Roman" w:hAnsi="Times New Roman" w:cs="Times New Roman"/>
          <w:sz w:val="24"/>
          <w:szCs w:val="24"/>
          <w:highlight w:val="white"/>
        </w:rPr>
        <w:t xml:space="preserve">(Beck et al., 1996; </w:t>
      </w:r>
      <w:proofErr w:type="spellStart"/>
      <w:r>
        <w:rPr>
          <w:rFonts w:ascii="Times New Roman" w:eastAsia="Times New Roman" w:hAnsi="Times New Roman" w:cs="Times New Roman"/>
          <w:sz w:val="24"/>
          <w:szCs w:val="24"/>
          <w:highlight w:val="white"/>
        </w:rPr>
        <w:t>Lechner</w:t>
      </w:r>
      <w:proofErr w:type="spellEnd"/>
      <w:r>
        <w:rPr>
          <w:rFonts w:ascii="Times New Roman" w:eastAsia="Times New Roman" w:hAnsi="Times New Roman" w:cs="Times New Roman"/>
          <w:sz w:val="24"/>
          <w:szCs w:val="24"/>
          <w:highlight w:val="white"/>
        </w:rPr>
        <w:t xml:space="preserve"> et al., 2014; Kushner et al., 1996). </w:t>
      </w:r>
    </w:p>
    <w:p w14:paraId="21B8BD82" w14:textId="77777777" w:rsidR="00D90040" w:rsidRDefault="00B4627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Research on the relationship between AS and other substances is limited and/or mi</w:t>
      </w:r>
      <w:r>
        <w:rPr>
          <w:rFonts w:ascii="Times New Roman" w:eastAsia="Times New Roman" w:hAnsi="Times New Roman" w:cs="Times New Roman"/>
          <w:sz w:val="24"/>
          <w:szCs w:val="24"/>
        </w:rPr>
        <w:t xml:space="preserve">xed. There is no research specifically on AS and opiate use; however, </w:t>
      </w:r>
      <w:proofErr w:type="spellStart"/>
      <w:r>
        <w:rPr>
          <w:rFonts w:ascii="Times New Roman" w:eastAsia="Times New Roman" w:hAnsi="Times New Roman" w:cs="Times New Roman"/>
          <w:sz w:val="24"/>
          <w:szCs w:val="24"/>
        </w:rPr>
        <w:t>Stathopoulou</w:t>
      </w:r>
      <w:proofErr w:type="spellEnd"/>
      <w:r>
        <w:rPr>
          <w:rFonts w:ascii="Times New Roman" w:eastAsia="Times New Roman" w:hAnsi="Times New Roman" w:cs="Times New Roman"/>
          <w:sz w:val="24"/>
          <w:szCs w:val="24"/>
        </w:rPr>
        <w:t xml:space="preserve"> and colleagues (2018) found that higher AS strengthened the relationship between negative affect and opioid cravings. If these results can be extrapolated to an opiate-depen</w:t>
      </w:r>
      <w:r>
        <w:rPr>
          <w:rFonts w:ascii="Times New Roman" w:eastAsia="Times New Roman" w:hAnsi="Times New Roman" w:cs="Times New Roman"/>
          <w:sz w:val="24"/>
          <w:szCs w:val="24"/>
        </w:rPr>
        <w:t xml:space="preserve">dence, then as with alcohol, opiates may be used as a means to cope with the negative affect, thoughts, and somatic sensations associated with high AS. </w:t>
      </w:r>
    </w:p>
    <w:p w14:paraId="474AE6FD" w14:textId="77777777" w:rsidR="00D90040" w:rsidRDefault="00B46279">
      <w:pPr>
        <w:spacing w:line="480" w:lineRule="auto"/>
        <w:ind w:firstLine="720"/>
        <w:rPr>
          <w:rFonts w:ascii="Times New Roman" w:eastAsia="Times New Roman" w:hAnsi="Times New Roman" w:cs="Times New Roman"/>
          <w:sz w:val="24"/>
          <w:szCs w:val="24"/>
          <w:shd w:val="clear" w:color="auto" w:fill="A2C4C9"/>
        </w:rPr>
      </w:pPr>
      <w:r>
        <w:rPr>
          <w:rFonts w:ascii="Times New Roman" w:eastAsia="Times New Roman" w:hAnsi="Times New Roman" w:cs="Times New Roman"/>
          <w:sz w:val="24"/>
          <w:szCs w:val="24"/>
        </w:rPr>
        <w:t>The literature is also mixed regarding cannabis dependence. Stewart and colleagues (1996) found a negat</w:t>
      </w:r>
      <w:r>
        <w:rPr>
          <w:rFonts w:ascii="Times New Roman" w:eastAsia="Times New Roman" w:hAnsi="Times New Roman" w:cs="Times New Roman"/>
          <w:sz w:val="24"/>
          <w:szCs w:val="24"/>
        </w:rPr>
        <w:t>ive association between AS and marijuana use. In contrast, Bonn-Miller and colleagues found that AS increased the usage of marijuana, due to its perceived dampening of emotional distress (2007). These two conflicting results align with the contradicting co</w:t>
      </w:r>
      <w:r>
        <w:rPr>
          <w:rFonts w:ascii="Times New Roman" w:eastAsia="Times New Roman" w:hAnsi="Times New Roman" w:cs="Times New Roman"/>
          <w:sz w:val="24"/>
          <w:szCs w:val="24"/>
        </w:rPr>
        <w:t xml:space="preserve">nsequences of </w:t>
      </w:r>
      <w:proofErr w:type="spellStart"/>
      <w:r>
        <w:rPr>
          <w:rFonts w:ascii="Times New Roman" w:eastAsia="Times New Roman" w:hAnsi="Times New Roman" w:cs="Times New Roman"/>
          <w:sz w:val="24"/>
          <w:szCs w:val="24"/>
        </w:rPr>
        <w:t>marijana</w:t>
      </w:r>
      <w:proofErr w:type="spellEnd"/>
      <w:r>
        <w:rPr>
          <w:rFonts w:ascii="Times New Roman" w:eastAsia="Times New Roman" w:hAnsi="Times New Roman" w:cs="Times New Roman"/>
          <w:sz w:val="24"/>
          <w:szCs w:val="24"/>
        </w:rPr>
        <w:t xml:space="preserve"> such as increased heart rate and improved relaxation, which would aggravate and alleviate AS, respectively (</w:t>
      </w:r>
      <w:proofErr w:type="spellStart"/>
      <w:r>
        <w:rPr>
          <w:rFonts w:ascii="Times New Roman" w:eastAsia="Times New Roman" w:hAnsi="Times New Roman" w:cs="Times New Roman"/>
          <w:sz w:val="24"/>
          <w:szCs w:val="24"/>
        </w:rPr>
        <w:t>Raypole</w:t>
      </w:r>
      <w:proofErr w:type="spellEnd"/>
      <w:r>
        <w:rPr>
          <w:rFonts w:ascii="Times New Roman" w:eastAsia="Times New Roman" w:hAnsi="Times New Roman" w:cs="Times New Roman"/>
          <w:sz w:val="24"/>
          <w:szCs w:val="24"/>
        </w:rPr>
        <w:t>, 2019). Which effect occurs seems to rely on the amount of THF present in the drug (</w:t>
      </w:r>
      <w:proofErr w:type="spellStart"/>
      <w:r>
        <w:rPr>
          <w:rFonts w:ascii="Times New Roman" w:eastAsia="Times New Roman" w:hAnsi="Times New Roman" w:cs="Times New Roman"/>
          <w:sz w:val="24"/>
          <w:szCs w:val="24"/>
        </w:rPr>
        <w:t>Raypole</w:t>
      </w:r>
      <w:proofErr w:type="spellEnd"/>
      <w:r>
        <w:rPr>
          <w:rFonts w:ascii="Times New Roman" w:eastAsia="Times New Roman" w:hAnsi="Times New Roman" w:cs="Times New Roman"/>
          <w:sz w:val="24"/>
          <w:szCs w:val="24"/>
        </w:rPr>
        <w:t xml:space="preserve">, 2019). Thus, additional </w:t>
      </w:r>
      <w:r>
        <w:rPr>
          <w:rFonts w:ascii="Times New Roman" w:eastAsia="Times New Roman" w:hAnsi="Times New Roman" w:cs="Times New Roman"/>
          <w:sz w:val="24"/>
          <w:szCs w:val="24"/>
        </w:rPr>
        <w:t xml:space="preserve">research is needed to </w:t>
      </w:r>
      <w:r>
        <w:rPr>
          <w:rFonts w:ascii="Times New Roman" w:eastAsia="Times New Roman" w:hAnsi="Times New Roman" w:cs="Times New Roman"/>
          <w:sz w:val="24"/>
          <w:szCs w:val="24"/>
          <w:highlight w:val="white"/>
        </w:rPr>
        <w:t>elucidate the relationship between AS and marijuana use.</w:t>
      </w:r>
      <w:r>
        <w:rPr>
          <w:rFonts w:ascii="Times New Roman" w:eastAsia="Times New Roman" w:hAnsi="Times New Roman" w:cs="Times New Roman"/>
          <w:color w:val="3C4043"/>
          <w:sz w:val="24"/>
          <w:szCs w:val="24"/>
          <w:highlight w:val="white"/>
        </w:rPr>
        <w:t xml:space="preserve"> </w:t>
      </w:r>
    </w:p>
    <w:p w14:paraId="1F8C4BAF" w14:textId="77777777" w:rsidR="00D90040" w:rsidRDefault="00B46279">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PTSD, SUDs, and AS</w:t>
      </w:r>
    </w:p>
    <w:p w14:paraId="64402EE5" w14:textId="77777777" w:rsidR="00D90040" w:rsidRDefault="00B46279">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While some evidence suggests that AS moderates the relationship between PTSD and substance use, the full relationship among these variables is not well </w:t>
      </w:r>
      <w:r>
        <w:rPr>
          <w:rFonts w:ascii="Times New Roman" w:eastAsia="Times New Roman" w:hAnsi="Times New Roman" w:cs="Times New Roman"/>
          <w:sz w:val="24"/>
          <w:szCs w:val="24"/>
        </w:rPr>
        <w:t>understood (</w:t>
      </w:r>
      <w:proofErr w:type="spellStart"/>
      <w:r>
        <w:rPr>
          <w:rFonts w:ascii="Times New Roman" w:eastAsia="Times New Roman" w:hAnsi="Times New Roman" w:cs="Times New Roman"/>
          <w:sz w:val="24"/>
          <w:szCs w:val="24"/>
        </w:rPr>
        <w:t>Vujanovic</w:t>
      </w:r>
      <w:proofErr w:type="spellEnd"/>
      <w:r>
        <w:rPr>
          <w:rFonts w:ascii="Times New Roman" w:eastAsia="Times New Roman" w:hAnsi="Times New Roman" w:cs="Times New Roman"/>
          <w:sz w:val="24"/>
          <w:szCs w:val="24"/>
        </w:rPr>
        <w:t xml:space="preserve">, 2018).  Based on AS’s positive association with both PTSD and SUDs, we would expect that high AS strengthened the relationship between PTSD and SUDs. There is substantial evidence to support this. In fact, high AS has been linked to </w:t>
      </w:r>
      <w:r>
        <w:rPr>
          <w:rFonts w:ascii="Times New Roman" w:eastAsia="Times New Roman" w:hAnsi="Times New Roman" w:cs="Times New Roman"/>
          <w:sz w:val="24"/>
          <w:szCs w:val="24"/>
        </w:rPr>
        <w:t xml:space="preserve">increased coping motives for alcohol use in those with PTSD (Simpson et al., 2006). In cocaine-dependent adults, emotion dysregulation </w:t>
      </w:r>
      <w:r>
        <w:rPr>
          <w:rFonts w:ascii="Times New Roman" w:eastAsia="Times New Roman" w:hAnsi="Times New Roman" w:cs="Times New Roman"/>
          <w:sz w:val="24"/>
          <w:szCs w:val="24"/>
        </w:rPr>
        <w:lastRenderedPageBreak/>
        <w:t>mediated the relationship between AS and PTSD, suggesting that there is a shared lack of emotion regulation in high AS an</w:t>
      </w:r>
      <w:r>
        <w:rPr>
          <w:rFonts w:ascii="Times New Roman" w:eastAsia="Times New Roman" w:hAnsi="Times New Roman" w:cs="Times New Roman"/>
          <w:sz w:val="24"/>
          <w:szCs w:val="24"/>
        </w:rPr>
        <w:t>d PTSD, which may motivate drug use (</w:t>
      </w:r>
      <w:proofErr w:type="spellStart"/>
      <w:r>
        <w:rPr>
          <w:rFonts w:ascii="Times New Roman" w:eastAsia="Times New Roman" w:hAnsi="Times New Roman" w:cs="Times New Roman"/>
          <w:sz w:val="24"/>
          <w:szCs w:val="24"/>
        </w:rPr>
        <w:t>Naifeh</w:t>
      </w:r>
      <w:proofErr w:type="spellEnd"/>
      <w:r>
        <w:rPr>
          <w:rFonts w:ascii="Times New Roman" w:eastAsia="Times New Roman" w:hAnsi="Times New Roman" w:cs="Times New Roman"/>
          <w:sz w:val="24"/>
          <w:szCs w:val="24"/>
        </w:rPr>
        <w:t xml:space="preserve"> et al., 2010). While these studies support the theory that high AS moderates the PTSD-SUDs relationship, </w:t>
      </w:r>
      <w:proofErr w:type="spellStart"/>
      <w:r>
        <w:rPr>
          <w:rFonts w:ascii="Times New Roman" w:eastAsia="Times New Roman" w:hAnsi="Times New Roman" w:cs="Times New Roman"/>
          <w:sz w:val="24"/>
          <w:szCs w:val="24"/>
        </w:rPr>
        <w:t>Gillhan</w:t>
      </w:r>
      <w:proofErr w:type="spellEnd"/>
      <w:r>
        <w:rPr>
          <w:rFonts w:ascii="Times New Roman" w:eastAsia="Times New Roman" w:hAnsi="Times New Roman" w:cs="Times New Roman"/>
          <w:sz w:val="24"/>
          <w:szCs w:val="24"/>
        </w:rPr>
        <w:t xml:space="preserve"> and colleagues (2011), discovered that it was low AS, not high AS, that strongly predicted avoidanc</w:t>
      </w:r>
      <w:r>
        <w:rPr>
          <w:rFonts w:ascii="Times New Roman" w:eastAsia="Times New Roman" w:hAnsi="Times New Roman" w:cs="Times New Roman"/>
          <w:sz w:val="24"/>
          <w:szCs w:val="24"/>
        </w:rPr>
        <w:t xml:space="preserve">e and re-experiencing symptoms of PTSD and drinking frequency. To make sense of the discrepancy between their results and the rest of the literature, </w:t>
      </w:r>
      <w:proofErr w:type="spellStart"/>
      <w:r>
        <w:rPr>
          <w:rFonts w:ascii="Times New Roman" w:eastAsia="Times New Roman" w:hAnsi="Times New Roman" w:cs="Times New Roman"/>
          <w:sz w:val="24"/>
          <w:szCs w:val="24"/>
        </w:rPr>
        <w:t>Gillihan</w:t>
      </w:r>
      <w:proofErr w:type="spellEnd"/>
      <w:r>
        <w:rPr>
          <w:rFonts w:ascii="Times New Roman" w:eastAsia="Times New Roman" w:hAnsi="Times New Roman" w:cs="Times New Roman"/>
          <w:sz w:val="24"/>
          <w:szCs w:val="24"/>
        </w:rPr>
        <w:t xml:space="preserve"> and colleagues (2011) suggested that “</w:t>
      </w:r>
      <w:r>
        <w:rPr>
          <w:rFonts w:ascii="Times New Roman" w:eastAsia="Times New Roman" w:hAnsi="Times New Roman" w:cs="Times New Roman"/>
          <w:sz w:val="24"/>
          <w:szCs w:val="24"/>
          <w:highlight w:val="white"/>
        </w:rPr>
        <w:t>low AS individuals with high PTSD avoidance symptoms may be</w:t>
      </w:r>
      <w:r>
        <w:rPr>
          <w:rFonts w:ascii="Times New Roman" w:eastAsia="Times New Roman" w:hAnsi="Times New Roman" w:cs="Times New Roman"/>
          <w:sz w:val="24"/>
          <w:szCs w:val="24"/>
          <w:highlight w:val="white"/>
        </w:rPr>
        <w:t xml:space="preserve"> “repressors” who deny that high anxiety (PTSD symptoms) is distressing to them.” </w:t>
      </w:r>
      <w:r>
        <w:rPr>
          <w:rFonts w:ascii="Times New Roman" w:eastAsia="Times New Roman" w:hAnsi="Times New Roman" w:cs="Times New Roman"/>
          <w:sz w:val="24"/>
          <w:szCs w:val="24"/>
        </w:rPr>
        <w:t>The current study aims to clarify this relationship.</w:t>
      </w:r>
    </w:p>
    <w:p w14:paraId="0D53FB7C" w14:textId="77777777" w:rsidR="00D90040" w:rsidRDefault="00B46279">
      <w:pPr>
        <w:spacing w:line="480" w:lineRule="auto"/>
        <w:ind w:firstLine="720"/>
        <w:rPr>
          <w:rFonts w:ascii="Times New Roman" w:eastAsia="Times New Roman" w:hAnsi="Times New Roman" w:cs="Times New Roman"/>
          <w:sz w:val="24"/>
          <w:szCs w:val="24"/>
          <w:shd w:val="clear" w:color="auto" w:fill="38761D"/>
        </w:rPr>
      </w:pPr>
      <w:r>
        <w:rPr>
          <w:rFonts w:ascii="Times New Roman" w:eastAsia="Times New Roman" w:hAnsi="Times New Roman" w:cs="Times New Roman"/>
          <w:sz w:val="24"/>
          <w:szCs w:val="24"/>
        </w:rPr>
        <w:t>While current research supports a potential association among PTSD, AS, and alcohol or cocaine use, the findings are mixe</w:t>
      </w:r>
      <w:r>
        <w:rPr>
          <w:rFonts w:ascii="Times New Roman" w:eastAsia="Times New Roman" w:hAnsi="Times New Roman" w:cs="Times New Roman"/>
          <w:sz w:val="24"/>
          <w:szCs w:val="24"/>
        </w:rPr>
        <w:t>d on the direction of this relationship. Additionally, there is still little known about how AS might be associated with other substances or with polysubstance</w:t>
      </w:r>
      <w:r>
        <w:rPr>
          <w:rFonts w:ascii="Times New Roman" w:eastAsia="Times New Roman" w:hAnsi="Times New Roman" w:cs="Times New Roman"/>
          <w:sz w:val="24"/>
          <w:szCs w:val="24"/>
        </w:rPr>
        <w:t xml:space="preserve"> use. Finally, it should be noted that most of the current literature makes use of noncl</w:t>
      </w:r>
      <w:r>
        <w:rPr>
          <w:rFonts w:ascii="Times New Roman" w:eastAsia="Times New Roman" w:hAnsi="Times New Roman" w:cs="Times New Roman"/>
          <w:sz w:val="24"/>
          <w:szCs w:val="24"/>
        </w:rPr>
        <w:t xml:space="preserve">inical samples, limiting the applicability of these findings to those most likely to seek and receive treatment. Addressing these gaps is critical to elucidating potential treatment targets for those suffering from comorbid PTSD and SUDs. </w:t>
      </w:r>
    </w:p>
    <w:p w14:paraId="69E373EC" w14:textId="77777777" w:rsidR="00D90040" w:rsidRDefault="00B4627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current stud</w:t>
      </w:r>
      <w:r>
        <w:rPr>
          <w:rFonts w:ascii="Times New Roman" w:eastAsia="Times New Roman" w:hAnsi="Times New Roman" w:cs="Times New Roman"/>
          <w:sz w:val="24"/>
          <w:szCs w:val="24"/>
        </w:rPr>
        <w:t>y explores the role of AS for individuals suffering from PTSD and SUDs. We hypothesize that individuals with PTSD will have greater AS, and that AS will be positively associated with SUDs. Finally, we hypothesize that those with PTSD will evidence a strong</w:t>
      </w:r>
      <w:r>
        <w:rPr>
          <w:rFonts w:ascii="Times New Roman" w:eastAsia="Times New Roman" w:hAnsi="Times New Roman" w:cs="Times New Roman"/>
          <w:sz w:val="24"/>
          <w:szCs w:val="24"/>
        </w:rPr>
        <w:t xml:space="preserve">er relationship between AS and SUDs.  </w:t>
      </w:r>
    </w:p>
    <w:p w14:paraId="55E3278F" w14:textId="77777777" w:rsidR="00D90040" w:rsidRDefault="00D90040">
      <w:pPr>
        <w:rPr>
          <w:rFonts w:ascii="Times New Roman" w:eastAsia="Times New Roman" w:hAnsi="Times New Roman" w:cs="Times New Roman"/>
          <w:sz w:val="24"/>
          <w:szCs w:val="24"/>
        </w:rPr>
      </w:pPr>
    </w:p>
    <w:p w14:paraId="06717856" w14:textId="77777777" w:rsidR="00245CF7" w:rsidRDefault="00245CF7">
      <w:pPr>
        <w:spacing w:line="480" w:lineRule="auto"/>
        <w:jc w:val="center"/>
        <w:rPr>
          <w:rFonts w:ascii="Times New Roman" w:eastAsia="Times New Roman" w:hAnsi="Times New Roman" w:cs="Times New Roman"/>
          <w:b/>
          <w:sz w:val="24"/>
          <w:szCs w:val="24"/>
        </w:rPr>
      </w:pPr>
    </w:p>
    <w:p w14:paraId="4A22377C" w14:textId="77777777" w:rsidR="00D90040" w:rsidRDefault="00B46279">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Methods</w:t>
      </w:r>
    </w:p>
    <w:p w14:paraId="1DB76B63" w14:textId="77777777" w:rsidR="00D90040" w:rsidRDefault="00B46279">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Participants</w:t>
      </w:r>
    </w:p>
    <w:p w14:paraId="209F788D" w14:textId="77777777" w:rsidR="00D90040" w:rsidRDefault="00B4627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2,617 </w:t>
      </w:r>
      <w:r>
        <w:rPr>
          <w:rFonts w:ascii="Times New Roman" w:eastAsia="Times New Roman" w:hAnsi="Times New Roman" w:cs="Times New Roman"/>
          <w:sz w:val="24"/>
          <w:szCs w:val="24"/>
        </w:rPr>
        <w:t xml:space="preserve">individuals at an inpatient residential treatment facility completed a clinical diagnostic interview with our research team and consented to have data from that interview used for research purposes. The majority of participants were Black (90%), with more </w:t>
      </w:r>
      <w:r>
        <w:rPr>
          <w:rFonts w:ascii="Times New Roman" w:eastAsia="Times New Roman" w:hAnsi="Times New Roman" w:cs="Times New Roman"/>
          <w:sz w:val="24"/>
          <w:szCs w:val="24"/>
        </w:rPr>
        <w:t>males (66%) than females, and an average age of 42.97 years old (SD=10.9).</w:t>
      </w:r>
    </w:p>
    <w:p w14:paraId="20E08CEB" w14:textId="77777777" w:rsidR="00D90040" w:rsidRDefault="00B46279">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Procedure</w:t>
      </w:r>
    </w:p>
    <w:p w14:paraId="618AE916" w14:textId="77777777" w:rsidR="00D90040" w:rsidRDefault="00B46279">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For the past 16 years, our lab has partnered with a residential treatment facility and has conducted clinical diagnostic interviews for recently admitted clients. Cl</w:t>
      </w:r>
      <w:r>
        <w:rPr>
          <w:rFonts w:ascii="Times New Roman" w:eastAsia="Times New Roman" w:hAnsi="Times New Roman" w:cs="Times New Roman"/>
          <w:sz w:val="24"/>
          <w:szCs w:val="24"/>
        </w:rPr>
        <w:t>ients completed semi-structured assessments of their demographic information, treatment history, and past substance use. They also completed two self-report questionnaires and the Structured Clinical Interview for the DSM-IV- Revised (SCID-IV-TR). If the c</w:t>
      </w:r>
      <w:r>
        <w:rPr>
          <w:rFonts w:ascii="Times New Roman" w:eastAsia="Times New Roman" w:hAnsi="Times New Roman" w:cs="Times New Roman"/>
          <w:sz w:val="24"/>
          <w:szCs w:val="24"/>
        </w:rPr>
        <w:t>lient consented to research, this data was then securely stored for use in future research. Otherwise, the information was compiled into a note for their clinical team and any documents from the interview were destroyed. The University of Maryland Institut</w:t>
      </w:r>
      <w:r>
        <w:rPr>
          <w:rFonts w:ascii="Times New Roman" w:eastAsia="Times New Roman" w:hAnsi="Times New Roman" w:cs="Times New Roman"/>
          <w:sz w:val="24"/>
          <w:szCs w:val="24"/>
        </w:rPr>
        <w:t xml:space="preserve">ional Review Board has approved all procedures associated with this study. </w:t>
      </w:r>
    </w:p>
    <w:p w14:paraId="291CE967" w14:textId="77777777" w:rsidR="00D90040" w:rsidRDefault="00B46279">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Measures</w:t>
      </w:r>
    </w:p>
    <w:p w14:paraId="5532EA49" w14:textId="77777777" w:rsidR="00D90040" w:rsidRDefault="00B46279">
      <w:pPr>
        <w:spacing w:line="48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ab/>
      </w:r>
      <w:r>
        <w:rPr>
          <w:rFonts w:ascii="Times New Roman" w:eastAsia="Times New Roman" w:hAnsi="Times New Roman" w:cs="Times New Roman"/>
          <w:b/>
          <w:sz w:val="24"/>
          <w:szCs w:val="24"/>
        </w:rPr>
        <w:t>Substance Use Disorders</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Both current and lifetime SUDs were assessed using the SCID-IV (</w:t>
      </w:r>
      <w:r>
        <w:rPr>
          <w:rFonts w:ascii="Times New Roman" w:eastAsia="Times New Roman" w:hAnsi="Times New Roman" w:cs="Times New Roman"/>
          <w:sz w:val="24"/>
          <w:szCs w:val="24"/>
          <w:highlight w:val="white"/>
        </w:rPr>
        <w:t>American Psychiatric Association, 2000)</w:t>
      </w:r>
      <w:r>
        <w:rPr>
          <w:rFonts w:ascii="Times New Roman" w:eastAsia="Times New Roman" w:hAnsi="Times New Roman" w:cs="Times New Roman"/>
          <w:sz w:val="24"/>
          <w:szCs w:val="24"/>
        </w:rPr>
        <w:t>. Current SUDs were defined as me</w:t>
      </w:r>
      <w:r>
        <w:rPr>
          <w:rFonts w:ascii="Times New Roman" w:eastAsia="Times New Roman" w:hAnsi="Times New Roman" w:cs="Times New Roman"/>
          <w:sz w:val="24"/>
          <w:szCs w:val="24"/>
        </w:rPr>
        <w:t xml:space="preserve">eting diagnostic criteria for a substance use disorder within the past year. Lifetime SUDs were defined as meeting criteria for a SUD in the past or present.  </w:t>
      </w:r>
    </w:p>
    <w:p w14:paraId="1D52D281" w14:textId="77777777" w:rsidR="00D90040" w:rsidRDefault="00B46279">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ab/>
      </w:r>
      <w:r>
        <w:rPr>
          <w:rFonts w:ascii="Times New Roman" w:eastAsia="Times New Roman" w:hAnsi="Times New Roman" w:cs="Times New Roman"/>
          <w:b/>
          <w:sz w:val="24"/>
          <w:szCs w:val="24"/>
        </w:rPr>
        <w:t xml:space="preserve">Anxiety Sensitivity. </w:t>
      </w:r>
      <w:r>
        <w:rPr>
          <w:rFonts w:ascii="Times New Roman" w:eastAsia="Times New Roman" w:hAnsi="Times New Roman" w:cs="Times New Roman"/>
          <w:sz w:val="24"/>
          <w:szCs w:val="24"/>
        </w:rPr>
        <w:t xml:space="preserve">AS was measured using the </w:t>
      </w:r>
      <w:r>
        <w:rPr>
          <w:rFonts w:ascii="Times New Roman" w:eastAsia="Times New Roman" w:hAnsi="Times New Roman" w:cs="Times New Roman"/>
          <w:i/>
          <w:sz w:val="24"/>
          <w:szCs w:val="24"/>
        </w:rPr>
        <w:t xml:space="preserve">Anxiety Sensitivity Index </w:t>
      </w:r>
      <w:r>
        <w:rPr>
          <w:rFonts w:ascii="Times New Roman" w:eastAsia="Times New Roman" w:hAnsi="Times New Roman" w:cs="Times New Roman"/>
          <w:sz w:val="24"/>
          <w:szCs w:val="24"/>
        </w:rPr>
        <w:t>(ASI), a 16-item self-</w:t>
      </w:r>
      <w:r>
        <w:rPr>
          <w:rFonts w:ascii="Times New Roman" w:eastAsia="Times New Roman" w:hAnsi="Times New Roman" w:cs="Times New Roman"/>
          <w:sz w:val="24"/>
          <w:szCs w:val="24"/>
        </w:rPr>
        <w:t xml:space="preserve">report survey that examines the physical, emotional, and cognitive aspects of AS. Participants complete a 5-point </w:t>
      </w:r>
      <w:proofErr w:type="spellStart"/>
      <w:r>
        <w:rPr>
          <w:rFonts w:ascii="Times New Roman" w:eastAsia="Times New Roman" w:hAnsi="Times New Roman" w:cs="Times New Roman"/>
          <w:sz w:val="24"/>
          <w:szCs w:val="24"/>
        </w:rPr>
        <w:t>likert</w:t>
      </w:r>
      <w:proofErr w:type="spellEnd"/>
      <w:r>
        <w:rPr>
          <w:rFonts w:ascii="Times New Roman" w:eastAsia="Times New Roman" w:hAnsi="Times New Roman" w:cs="Times New Roman"/>
          <w:sz w:val="24"/>
          <w:szCs w:val="24"/>
        </w:rPr>
        <w:t xml:space="preserve"> scale ranging from 0 (“very little”) to 4 (“very much”). The ASI has been shown to have high internal consistency (</w:t>
      </w:r>
      <w:r>
        <w:rPr>
          <w:rFonts w:ascii="Times New Roman" w:eastAsia="Times New Roman" w:hAnsi="Times New Roman" w:cs="Times New Roman"/>
          <w:sz w:val="24"/>
          <w:szCs w:val="24"/>
          <w:highlight w:val="white"/>
        </w:rPr>
        <w:t xml:space="preserve">α = 0.92) </w:t>
      </w:r>
      <w:r>
        <w:rPr>
          <w:rFonts w:ascii="Times New Roman" w:eastAsia="Times New Roman" w:hAnsi="Times New Roman" w:cs="Times New Roman"/>
          <w:sz w:val="24"/>
          <w:szCs w:val="24"/>
        </w:rPr>
        <w:t>and test-r</w:t>
      </w:r>
      <w:r>
        <w:rPr>
          <w:rFonts w:ascii="Times New Roman" w:eastAsia="Times New Roman" w:hAnsi="Times New Roman" w:cs="Times New Roman"/>
          <w:sz w:val="24"/>
          <w:szCs w:val="24"/>
        </w:rPr>
        <w:t xml:space="preserve">etest reliability </w:t>
      </w:r>
      <w:r>
        <w:rPr>
          <w:rFonts w:ascii="Times New Roman" w:eastAsia="Times New Roman" w:hAnsi="Times New Roman" w:cs="Times New Roman"/>
          <w:sz w:val="24"/>
          <w:szCs w:val="24"/>
          <w:highlight w:val="white"/>
        </w:rPr>
        <w:t xml:space="preserve">(r=0.75 after 14 days; Reiss et al., 1986). </w:t>
      </w:r>
    </w:p>
    <w:p w14:paraId="0D626C7E" w14:textId="77777777" w:rsidR="00D90040" w:rsidRDefault="00B46279">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highlight w:val="white"/>
        </w:rPr>
        <w:lastRenderedPageBreak/>
        <w:tab/>
      </w:r>
      <w:r>
        <w:rPr>
          <w:rFonts w:ascii="Times New Roman" w:eastAsia="Times New Roman" w:hAnsi="Times New Roman" w:cs="Times New Roman"/>
          <w:b/>
          <w:sz w:val="24"/>
          <w:szCs w:val="24"/>
          <w:highlight w:val="white"/>
        </w:rPr>
        <w:t xml:space="preserve">Lifetime Post Traumatic Stress Disorder. </w:t>
      </w:r>
      <w:r>
        <w:rPr>
          <w:rFonts w:ascii="Times New Roman" w:eastAsia="Times New Roman" w:hAnsi="Times New Roman" w:cs="Times New Roman"/>
          <w:sz w:val="24"/>
          <w:szCs w:val="24"/>
          <w:highlight w:val="white"/>
        </w:rPr>
        <w:t>PTSD was diagnosed using the SCID-IV</w:t>
      </w:r>
      <w:r>
        <w:rPr>
          <w:rFonts w:ascii="Times New Roman" w:eastAsia="Times New Roman" w:hAnsi="Times New Roman" w:cs="Times New Roman"/>
          <w:sz w:val="24"/>
          <w:szCs w:val="24"/>
        </w:rPr>
        <w:t>, and</w:t>
      </w:r>
      <w:r>
        <w:rPr>
          <w:rFonts w:ascii="Times New Roman" w:eastAsia="Times New Roman" w:hAnsi="Times New Roman" w:cs="Times New Roman"/>
          <w:b/>
          <w:sz w:val="24"/>
          <w:szCs w:val="24"/>
          <w:highlight w:val="white"/>
        </w:rPr>
        <w:t xml:space="preserve"> </w:t>
      </w:r>
      <w:r>
        <w:rPr>
          <w:rFonts w:ascii="Times New Roman" w:eastAsia="Times New Roman" w:hAnsi="Times New Roman" w:cs="Times New Roman"/>
          <w:sz w:val="24"/>
          <w:szCs w:val="24"/>
          <w:highlight w:val="white"/>
        </w:rPr>
        <w:t xml:space="preserve">lifetime PTSD was defined as meeting diagnostic criteria for PTSD in the past and/or present </w:t>
      </w:r>
      <w:r>
        <w:rPr>
          <w:rFonts w:ascii="Times New Roman" w:eastAsia="Times New Roman" w:hAnsi="Times New Roman" w:cs="Times New Roman"/>
          <w:sz w:val="24"/>
          <w:szCs w:val="24"/>
        </w:rPr>
        <w:t>(</w:t>
      </w:r>
      <w:r>
        <w:rPr>
          <w:rFonts w:ascii="Times New Roman" w:eastAsia="Times New Roman" w:hAnsi="Times New Roman" w:cs="Times New Roman"/>
          <w:sz w:val="24"/>
          <w:szCs w:val="24"/>
          <w:highlight w:val="white"/>
        </w:rPr>
        <w:t xml:space="preserve">American Psychiatric Association, 2000). </w:t>
      </w:r>
    </w:p>
    <w:p w14:paraId="13E8D825" w14:textId="77777777" w:rsidR="00D90040" w:rsidRDefault="00B46279">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Data Analysis</w:t>
      </w:r>
    </w:p>
    <w:p w14:paraId="66B8CA06" w14:textId="77777777" w:rsidR="00D90040" w:rsidRDefault="00B4627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In a prior study, patterns of current and lifetime substance dependence were determined using a latent class analysis (</w:t>
      </w:r>
      <w:proofErr w:type="spellStart"/>
      <w:r>
        <w:rPr>
          <w:rFonts w:ascii="Times New Roman" w:eastAsia="Times New Roman" w:hAnsi="Times New Roman" w:cs="Times New Roman"/>
          <w:sz w:val="24"/>
          <w:szCs w:val="24"/>
        </w:rPr>
        <w:t>Arenson</w:t>
      </w:r>
      <w:proofErr w:type="spellEnd"/>
      <w:r>
        <w:rPr>
          <w:rFonts w:ascii="Times New Roman" w:eastAsia="Times New Roman" w:hAnsi="Times New Roman" w:cs="Times New Roman"/>
          <w:sz w:val="24"/>
          <w:szCs w:val="24"/>
        </w:rPr>
        <w:t xml:space="preserve"> et al., 2020). These methods have been extensively described elsewhere. </w:t>
      </w:r>
      <w:r>
        <w:rPr>
          <w:rFonts w:ascii="Times New Roman" w:eastAsia="Times New Roman" w:hAnsi="Times New Roman" w:cs="Times New Roman"/>
          <w:sz w:val="24"/>
          <w:szCs w:val="24"/>
        </w:rPr>
        <w:t>Briefly, the LCA revealed five current SUDs classes</w:t>
      </w:r>
      <w:r>
        <w:rPr>
          <w:rFonts w:ascii="Times New Roman" w:eastAsia="Times New Roman" w:hAnsi="Times New Roman" w:cs="Times New Roman"/>
          <w:sz w:val="24"/>
          <w:szCs w:val="24"/>
        </w:rPr>
        <w:t>: (1) hallucinogen-only dependence, (2) alcohol and cocaine dependence, (3) cannabis and alcohol dependence, (4) cocaine only dependence, and (5) opiate only dependence. A separate LCA also revealed fiv</w:t>
      </w:r>
      <w:r>
        <w:rPr>
          <w:rFonts w:ascii="Times New Roman" w:eastAsia="Times New Roman" w:hAnsi="Times New Roman" w:cs="Times New Roman"/>
          <w:sz w:val="24"/>
          <w:szCs w:val="24"/>
        </w:rPr>
        <w:t>e lifetime SUDs classes: (1) hallucinogen only dependence, (2) alcohol and cocaine dependence, (3) cocaine and opiate dependence, (4) cocaine only dependence, and (5) dependence across all substances. Of note, those who did not meet criteria for any SUDs w</w:t>
      </w:r>
      <w:r>
        <w:rPr>
          <w:rFonts w:ascii="Times New Roman" w:eastAsia="Times New Roman" w:hAnsi="Times New Roman" w:cs="Times New Roman"/>
          <w:sz w:val="24"/>
          <w:szCs w:val="24"/>
        </w:rPr>
        <w:t xml:space="preserve">ere excluded from the LCA, and then manually included as their own class. </w:t>
      </w:r>
    </w:p>
    <w:p w14:paraId="5A2B2610" w14:textId="77777777" w:rsidR="00D90040" w:rsidRDefault="00B4627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We also investigated individual SUDs, which came from the SCID-IV-TR that participants completed. The individual SUDs included in our analysis are as follows: “no SUDs”, “alcohol”, </w:t>
      </w:r>
      <w:r>
        <w:rPr>
          <w:rFonts w:ascii="Times New Roman" w:eastAsia="Times New Roman" w:hAnsi="Times New Roman" w:cs="Times New Roman"/>
          <w:sz w:val="24"/>
          <w:szCs w:val="24"/>
        </w:rPr>
        <w:t xml:space="preserve">“cocaine”, “opiates”, “hallucinogens”, and “cannabis”. </w:t>
      </w:r>
    </w:p>
    <w:p w14:paraId="44602481" w14:textId="77777777" w:rsidR="00D90040" w:rsidRDefault="00B4627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Finally, we examined a post-hoc, three group comparison, wherein SUDs were grouped as “no substance dependence”, “single substance dependence”, and “polysubstance dependence” for both current and life</w:t>
      </w:r>
      <w:r>
        <w:rPr>
          <w:rFonts w:ascii="Times New Roman" w:eastAsia="Times New Roman" w:hAnsi="Times New Roman" w:cs="Times New Roman"/>
          <w:sz w:val="24"/>
          <w:szCs w:val="24"/>
        </w:rPr>
        <w:t>time dependence, where “polysubstance dependence” denotes dependence to more than one substance.</w:t>
      </w:r>
    </w:p>
    <w:p w14:paraId="376549E5" w14:textId="77777777" w:rsidR="00D90040" w:rsidRDefault="00B4627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w:t>
      </w:r>
      <w:r>
        <w:rPr>
          <w:rFonts w:ascii="Times New Roman" w:eastAsia="Times New Roman" w:hAnsi="Times New Roman" w:cs="Times New Roman"/>
          <w:sz w:val="24"/>
          <w:szCs w:val="24"/>
        </w:rPr>
        <w:t xml:space="preserve">o differentiate between the various analytical SUDs categories, these three-group comparisons will be referred to as “grouped SUDs.” When discussing specific SUDs, we will </w:t>
      </w:r>
      <w:r>
        <w:rPr>
          <w:rFonts w:ascii="Times New Roman" w:eastAsia="Times New Roman" w:hAnsi="Times New Roman" w:cs="Times New Roman"/>
          <w:sz w:val="24"/>
          <w:szCs w:val="24"/>
        </w:rPr>
        <w:lastRenderedPageBreak/>
        <w:t>refer to them as “individual SUDs.” Finally, the SUDs resulting from the LCA are “SU</w:t>
      </w:r>
      <w:r>
        <w:rPr>
          <w:rFonts w:ascii="Times New Roman" w:eastAsia="Times New Roman" w:hAnsi="Times New Roman" w:cs="Times New Roman"/>
          <w:sz w:val="24"/>
          <w:szCs w:val="24"/>
        </w:rPr>
        <w:t>Ds classes”.</w:t>
      </w:r>
      <w:r>
        <w:rPr>
          <w:rFonts w:ascii="Times New Roman" w:eastAsia="Times New Roman" w:hAnsi="Times New Roman" w:cs="Times New Roman"/>
          <w:sz w:val="24"/>
          <w:szCs w:val="24"/>
        </w:rPr>
        <w:t xml:space="preserve"> </w:t>
      </w:r>
    </w:p>
    <w:p w14:paraId="43D0B8A6" w14:textId="77777777" w:rsidR="00D90040" w:rsidRDefault="00B4627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current study used two-way ANCOVAs to evaluate the moderating effects of lifetime  PTSD on the relationship between AS and 1) individual current SUDs 2) individual lifetime SUDs 3) grouped current SUDs 4) grouped lifetime SUDs 5) curre</w:t>
      </w:r>
      <w:r>
        <w:rPr>
          <w:rFonts w:ascii="Times New Roman" w:eastAsia="Times New Roman" w:hAnsi="Times New Roman" w:cs="Times New Roman"/>
          <w:sz w:val="24"/>
          <w:szCs w:val="24"/>
        </w:rPr>
        <w:t>nt SUDs class, and 6) lifetime SUDs class. In all models, we controlled for monthly income, gender, and age</w:t>
      </w:r>
      <w:r>
        <w:rPr>
          <w:rFonts w:ascii="Times New Roman" w:eastAsia="Times New Roman" w:hAnsi="Times New Roman" w:cs="Times New Roman"/>
          <w:sz w:val="24"/>
          <w:szCs w:val="24"/>
        </w:rPr>
        <w:t xml:space="preserve">, as it is well-established that they are significantly related to substance use (Stewart, Karp, Pihl, &amp; Peterson, 1996; Novak, Burgess, Clark, </w:t>
      </w:r>
      <w:proofErr w:type="spellStart"/>
      <w:r>
        <w:rPr>
          <w:rFonts w:ascii="Times New Roman" w:eastAsia="Times New Roman" w:hAnsi="Times New Roman" w:cs="Times New Roman"/>
          <w:sz w:val="24"/>
          <w:szCs w:val="24"/>
        </w:rPr>
        <w:t>Zv</w:t>
      </w:r>
      <w:r>
        <w:rPr>
          <w:rFonts w:ascii="Times New Roman" w:eastAsia="Times New Roman" w:hAnsi="Times New Roman" w:cs="Times New Roman"/>
          <w:sz w:val="24"/>
          <w:szCs w:val="24"/>
        </w:rPr>
        <w:t>olensky</w:t>
      </w:r>
      <w:proofErr w:type="spellEnd"/>
      <w:r>
        <w:rPr>
          <w:rFonts w:ascii="Times New Roman" w:eastAsia="Times New Roman" w:hAnsi="Times New Roman" w:cs="Times New Roman"/>
          <w:sz w:val="24"/>
          <w:szCs w:val="24"/>
        </w:rPr>
        <w:t xml:space="preserve">, &amp; Brown, 2003; </w:t>
      </w:r>
      <w:proofErr w:type="spellStart"/>
      <w:r>
        <w:rPr>
          <w:rFonts w:ascii="Times New Roman" w:eastAsia="Times New Roman" w:hAnsi="Times New Roman" w:cs="Times New Roman"/>
          <w:sz w:val="24"/>
          <w:szCs w:val="24"/>
        </w:rPr>
        <w:t>Feldner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Zvolensky</w:t>
      </w:r>
      <w:proofErr w:type="spellEnd"/>
      <w:r>
        <w:rPr>
          <w:rFonts w:ascii="Times New Roman" w:eastAsia="Times New Roman" w:hAnsi="Times New Roman" w:cs="Times New Roman"/>
          <w:sz w:val="24"/>
          <w:szCs w:val="24"/>
        </w:rPr>
        <w:t>, Schmidt, &amp; Smith, 2008). We used estimated marginal means with Bonferroni</w:t>
      </w:r>
      <w:r>
        <w:rPr>
          <w:rFonts w:ascii="Times New Roman" w:eastAsia="Times New Roman" w:hAnsi="Times New Roman" w:cs="Times New Roman"/>
          <w:sz w:val="24"/>
          <w:szCs w:val="24"/>
        </w:rPr>
        <w:t xml:space="preserve"> corrections to further examine group differences. Estimated marginal means were conducted using SPSS. All other analyses were conducted</w:t>
      </w:r>
      <w:r>
        <w:rPr>
          <w:rFonts w:ascii="Times New Roman" w:eastAsia="Times New Roman" w:hAnsi="Times New Roman" w:cs="Times New Roman"/>
          <w:sz w:val="24"/>
          <w:szCs w:val="24"/>
        </w:rPr>
        <w:t xml:space="preserve"> using R Studio.</w:t>
      </w:r>
    </w:p>
    <w:p w14:paraId="394885B5" w14:textId="77777777" w:rsidR="00D90040" w:rsidRDefault="00B46279">
      <w:pPr>
        <w:spacing w:line="480" w:lineRule="auto"/>
        <w:ind w:firstLine="72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Results</w:t>
      </w:r>
    </w:p>
    <w:p w14:paraId="2E3E3C95" w14:textId="77777777" w:rsidR="00D90040" w:rsidRDefault="00B46279">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rPr>
        <w:tab/>
      </w:r>
      <w:r>
        <w:rPr>
          <w:rFonts w:ascii="Times New Roman" w:eastAsia="Times New Roman" w:hAnsi="Times New Roman" w:cs="Times New Roman"/>
          <w:sz w:val="24"/>
          <w:szCs w:val="24"/>
          <w:highlight w:val="white"/>
        </w:rPr>
        <w:t>Age (</w:t>
      </w:r>
      <w:r>
        <w:rPr>
          <w:rFonts w:ascii="Times New Roman" w:eastAsia="Times New Roman" w:hAnsi="Times New Roman" w:cs="Times New Roman"/>
          <w:sz w:val="24"/>
          <w:szCs w:val="24"/>
        </w:rPr>
        <w:t>F(1, 1978)=24.82, p&lt;0.001),</w:t>
      </w:r>
      <w:r>
        <w:rPr>
          <w:rFonts w:ascii="Times New Roman" w:eastAsia="Times New Roman" w:hAnsi="Times New Roman" w:cs="Times New Roman"/>
          <w:sz w:val="24"/>
          <w:szCs w:val="24"/>
          <w:highlight w:val="white"/>
        </w:rPr>
        <w:t xml:space="preserve"> gender (</w:t>
      </w:r>
      <w:r>
        <w:rPr>
          <w:rFonts w:ascii="Times New Roman" w:eastAsia="Times New Roman" w:hAnsi="Times New Roman" w:cs="Times New Roman"/>
          <w:sz w:val="24"/>
          <w:szCs w:val="24"/>
        </w:rPr>
        <w:t xml:space="preserve">F(1, 1966)=8.10, p=0.004), </w:t>
      </w:r>
      <w:r>
        <w:rPr>
          <w:rFonts w:ascii="Times New Roman" w:eastAsia="Times New Roman" w:hAnsi="Times New Roman" w:cs="Times New Roman"/>
          <w:sz w:val="24"/>
          <w:szCs w:val="24"/>
          <w:highlight w:val="white"/>
        </w:rPr>
        <w:t>and monthly income (</w:t>
      </w:r>
      <w:r>
        <w:rPr>
          <w:rFonts w:ascii="Times New Roman" w:eastAsia="Times New Roman" w:hAnsi="Times New Roman" w:cs="Times New Roman"/>
          <w:sz w:val="24"/>
          <w:szCs w:val="24"/>
        </w:rPr>
        <w:t>F(1, 1595</w:t>
      </w:r>
      <w:r>
        <w:rPr>
          <w:rFonts w:ascii="Times New Roman" w:eastAsia="Times New Roman" w:hAnsi="Times New Roman" w:cs="Times New Roman"/>
          <w:sz w:val="24"/>
          <w:szCs w:val="24"/>
        </w:rPr>
        <w:t xml:space="preserve">)=9.34, p=0.002) </w:t>
      </w:r>
      <w:r>
        <w:rPr>
          <w:rFonts w:ascii="Times New Roman" w:eastAsia="Times New Roman" w:hAnsi="Times New Roman" w:cs="Times New Roman"/>
          <w:sz w:val="24"/>
          <w:szCs w:val="24"/>
          <w:highlight w:val="white"/>
        </w:rPr>
        <w:t>were significantly associated with AS. In addition, both lifetime PTSD (</w:t>
      </w:r>
      <w:r>
        <w:rPr>
          <w:rFonts w:ascii="Times New Roman" w:eastAsia="Times New Roman" w:hAnsi="Times New Roman" w:cs="Times New Roman"/>
          <w:sz w:val="24"/>
          <w:szCs w:val="24"/>
        </w:rPr>
        <w:t xml:space="preserve">F(1, 1914)=119.65, p&lt;0.001) </w:t>
      </w:r>
      <w:r>
        <w:rPr>
          <w:rFonts w:ascii="Times New Roman" w:eastAsia="Times New Roman" w:hAnsi="Times New Roman" w:cs="Times New Roman"/>
          <w:sz w:val="24"/>
          <w:szCs w:val="24"/>
          <w:highlight w:val="white"/>
        </w:rPr>
        <w:t>and the presence of current (</w:t>
      </w:r>
      <w:r>
        <w:rPr>
          <w:rFonts w:ascii="Times New Roman" w:eastAsia="Times New Roman" w:hAnsi="Times New Roman" w:cs="Times New Roman"/>
          <w:sz w:val="24"/>
          <w:szCs w:val="24"/>
        </w:rPr>
        <w:t xml:space="preserve">F(1, 1965)=22.24, p&lt;0.001) </w:t>
      </w:r>
      <w:r>
        <w:rPr>
          <w:rFonts w:ascii="Times New Roman" w:eastAsia="Times New Roman" w:hAnsi="Times New Roman" w:cs="Times New Roman"/>
          <w:sz w:val="24"/>
          <w:szCs w:val="24"/>
          <w:highlight w:val="white"/>
        </w:rPr>
        <w:t>or lifetime (</w:t>
      </w:r>
      <w:r>
        <w:rPr>
          <w:rFonts w:ascii="Times New Roman" w:eastAsia="Times New Roman" w:hAnsi="Times New Roman" w:cs="Times New Roman"/>
          <w:sz w:val="24"/>
          <w:szCs w:val="24"/>
        </w:rPr>
        <w:t xml:space="preserve">F(1, 1970)=26.71, p&lt;0.001) </w:t>
      </w:r>
      <w:r>
        <w:rPr>
          <w:rFonts w:ascii="Times New Roman" w:eastAsia="Times New Roman" w:hAnsi="Times New Roman" w:cs="Times New Roman"/>
          <w:sz w:val="24"/>
          <w:szCs w:val="24"/>
          <w:highlight w:val="white"/>
        </w:rPr>
        <w:t xml:space="preserve">substance dependence were associated with greater AS. </w:t>
      </w:r>
    </w:p>
    <w:p w14:paraId="24A6F314" w14:textId="77777777" w:rsidR="00D90040" w:rsidRDefault="00B46279">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SUDS, AS, and Lifetime PTSD. </w:t>
      </w:r>
    </w:p>
    <w:p w14:paraId="33C7FCAA" w14:textId="77777777" w:rsidR="00D90040" w:rsidRDefault="00B46279">
      <w:pPr>
        <w:spacing w:before="10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A two-way ANCOVA was conducted to explore the relationship among lifetime </w:t>
      </w:r>
      <w:r>
        <w:rPr>
          <w:rFonts w:ascii="Times New Roman" w:eastAsia="Times New Roman" w:hAnsi="Times New Roman" w:cs="Times New Roman"/>
          <w:sz w:val="24"/>
          <w:szCs w:val="24"/>
        </w:rPr>
        <w:t>PTSD, individual SUDs</w:t>
      </w:r>
      <w:r>
        <w:rPr>
          <w:rFonts w:ascii="Times New Roman" w:eastAsia="Times New Roman" w:hAnsi="Times New Roman" w:cs="Times New Roman"/>
          <w:sz w:val="24"/>
          <w:szCs w:val="24"/>
        </w:rPr>
        <w:t xml:space="preserve"> and ASI, after controlling for age, gender, and income. There was a main effect of lifetime PTSD (F(1, 1488)=105.25, p&lt;0.001) and individual current SUDs (F(6, 1488)=14.30, p&lt;0.001) on ASI (Table 1). However, there was no significa</w:t>
      </w:r>
      <w:r>
        <w:rPr>
          <w:rFonts w:ascii="Times New Roman" w:eastAsia="Times New Roman" w:hAnsi="Times New Roman" w:cs="Times New Roman"/>
          <w:sz w:val="24"/>
          <w:szCs w:val="24"/>
        </w:rPr>
        <w:t xml:space="preserve">nt interaction between lifetime PTSD and current SUDs (F(6, 1488)=1.99, p=0.06). Similarly, there was a significant main </w:t>
      </w:r>
      <w:r>
        <w:rPr>
          <w:rFonts w:ascii="Times New Roman" w:eastAsia="Times New Roman" w:hAnsi="Times New Roman" w:cs="Times New Roman"/>
          <w:sz w:val="24"/>
          <w:szCs w:val="24"/>
        </w:rPr>
        <w:lastRenderedPageBreak/>
        <w:t>effect of individual lifetime SUDs</w:t>
      </w:r>
      <w:r>
        <w:rPr>
          <w:rFonts w:ascii="Times New Roman" w:eastAsia="Times New Roman" w:hAnsi="Times New Roman" w:cs="Times New Roman"/>
          <w:sz w:val="24"/>
          <w:szCs w:val="24"/>
        </w:rPr>
        <w:t xml:space="preserve"> on ASI (F(6, 1492)=18.37, p&lt;0.001) but no significant interaction (F(6, 1492)=1.84, p=0.09) (Tabl</w:t>
      </w:r>
      <w:r>
        <w:rPr>
          <w:rFonts w:ascii="Times New Roman" w:eastAsia="Times New Roman" w:hAnsi="Times New Roman" w:cs="Times New Roman"/>
          <w:sz w:val="24"/>
          <w:szCs w:val="24"/>
        </w:rPr>
        <w:t xml:space="preserve">e 2). </w:t>
      </w:r>
    </w:p>
    <w:p w14:paraId="1A34DAA7" w14:textId="77777777" w:rsidR="00D90040" w:rsidRDefault="00B46279">
      <w:pPr>
        <w:spacing w:before="10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We also used two-way ANCOVAs to explore the relationship among lifetime PTSD, grouped SUDs, and ASI. After controlling for income, gender, and age, there was a main effect of lifetime PTSD (F(1, 1501)=105.25, p&lt;0.001) and grouped current SUDs (F(2, </w:t>
      </w:r>
      <w:r>
        <w:rPr>
          <w:rFonts w:ascii="Times New Roman" w:eastAsia="Times New Roman" w:hAnsi="Times New Roman" w:cs="Times New Roman"/>
          <w:sz w:val="24"/>
          <w:szCs w:val="24"/>
        </w:rPr>
        <w:t xml:space="preserve">1501)=35.07, p&lt;0.001) on ASI (Table 3). There was also a significant interaction between grouped current SUDs and PTSD (F(2, 1501)=4.98, p=0.01) on ASI (Table 4 and Figure 1). In the absence of lifetime PTSD, there was a significant increase in ASI scores </w:t>
      </w:r>
      <w:r>
        <w:rPr>
          <w:rFonts w:ascii="Times New Roman" w:eastAsia="Times New Roman" w:hAnsi="Times New Roman" w:cs="Times New Roman"/>
          <w:sz w:val="24"/>
          <w:szCs w:val="24"/>
        </w:rPr>
        <w:t xml:space="preserve">as participants met for more SUDs. In the presence of lifetime PTSD, however, only participants who met for multiple SUDs had significantly greater ASI scores compared to those who met for no or one SUD(s). </w:t>
      </w:r>
    </w:p>
    <w:p w14:paraId="78B50AC9" w14:textId="77777777" w:rsidR="00D90040" w:rsidRDefault="00B46279">
      <w:pPr>
        <w:spacing w:before="10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There was also a significant main effect of life</w:t>
      </w:r>
      <w:r>
        <w:rPr>
          <w:rFonts w:ascii="Times New Roman" w:eastAsia="Times New Roman" w:hAnsi="Times New Roman" w:cs="Times New Roman"/>
          <w:sz w:val="24"/>
          <w:szCs w:val="24"/>
        </w:rPr>
        <w:t>time PTSD (F(1, 1504)=95.25, p&lt;0.001) and grouped lifetime SUDs (F(2, 1504)=47.53, p&lt;0.001) (Table 5). Additionally, there was a significant interaction between grouped lifetime SUDs and PTSD on ASI (F(2, 1504)=3.07, p=0.047) (Table 5). Participants with l</w:t>
      </w:r>
      <w:r>
        <w:rPr>
          <w:rFonts w:ascii="Times New Roman" w:eastAsia="Times New Roman" w:hAnsi="Times New Roman" w:cs="Times New Roman"/>
          <w:sz w:val="24"/>
          <w:szCs w:val="24"/>
        </w:rPr>
        <w:t>ifetime PTSD had higher ASI scores whether they met for no SUDs, one SUD, or multiple SUDs (Table 6 and Figure 2). Once again, for participants without lifetime PTSD, there was a rise in ASI scores as they met for more SUDs. However, if lifetime PTSD was p</w:t>
      </w:r>
      <w:r>
        <w:rPr>
          <w:rFonts w:ascii="Times New Roman" w:eastAsia="Times New Roman" w:hAnsi="Times New Roman" w:cs="Times New Roman"/>
          <w:sz w:val="24"/>
          <w:szCs w:val="24"/>
        </w:rPr>
        <w:t xml:space="preserve">resent, then only multiple SUDs had a significant increase in ASI score. </w:t>
      </w:r>
    </w:p>
    <w:p w14:paraId="546BC438" w14:textId="77777777" w:rsidR="00D90040" w:rsidRDefault="00B46279">
      <w:pPr>
        <w:spacing w:before="10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Table 7 shows the results of the two-way ANCOVAs for SUDs classes. There was a main effect of both lifetime PTSD (F(1, 1490)=105.64, p&lt;0.001) and current SUDs class on ASI (F(5, 1490</w:t>
      </w:r>
      <w:r>
        <w:rPr>
          <w:rFonts w:ascii="Times New Roman" w:eastAsia="Times New Roman" w:hAnsi="Times New Roman" w:cs="Times New Roman"/>
          <w:sz w:val="24"/>
          <w:szCs w:val="24"/>
        </w:rPr>
        <w:t>)=12.00, p&lt;0.001). Furthermore, there was a significant interaction between PTSD and SUDs class (F(5, 1490)=2.38, p=0.04). After comparing the marginal means and confidence intervals, we found that among those who fell within the “none”, “cocaine”, “alcoho</w:t>
      </w:r>
      <w:r>
        <w:rPr>
          <w:rFonts w:ascii="Times New Roman" w:eastAsia="Times New Roman" w:hAnsi="Times New Roman" w:cs="Times New Roman"/>
          <w:sz w:val="24"/>
          <w:szCs w:val="24"/>
        </w:rPr>
        <w:t xml:space="preserve">l and cocaine”, and “hallucinogen” classes, ASI scores were higher when PTSD was present compared </w:t>
      </w:r>
      <w:r>
        <w:rPr>
          <w:rFonts w:ascii="Times New Roman" w:eastAsia="Times New Roman" w:hAnsi="Times New Roman" w:cs="Times New Roman"/>
          <w:sz w:val="24"/>
          <w:szCs w:val="24"/>
        </w:rPr>
        <w:lastRenderedPageBreak/>
        <w:t>to when it was absent (Table 8). In the absence of PTSD, ASI score was higher for SUDs class when compared to the “none” class. This was not the case in the p</w:t>
      </w:r>
      <w:r>
        <w:rPr>
          <w:rFonts w:ascii="Times New Roman" w:eastAsia="Times New Roman" w:hAnsi="Times New Roman" w:cs="Times New Roman"/>
          <w:sz w:val="24"/>
          <w:szCs w:val="24"/>
        </w:rPr>
        <w:t xml:space="preserve">resence of PTSD. See Figure 3 for a visual depiction of these results. </w:t>
      </w:r>
    </w:p>
    <w:p w14:paraId="45537448" w14:textId="77777777" w:rsidR="00D90040" w:rsidRDefault="00B46279">
      <w:pPr>
        <w:spacing w:before="10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As seen in Table 9, there were significant main effects of lifetime PTSD (F(1, 1497)=95.85, p&lt;0.001) and lifetime SUDs class on ASI (F(5, 1497)=16.97, p&lt;0.001). Additionally, there was</w:t>
      </w:r>
      <w:r>
        <w:rPr>
          <w:rFonts w:ascii="Times New Roman" w:eastAsia="Times New Roman" w:hAnsi="Times New Roman" w:cs="Times New Roman"/>
          <w:sz w:val="24"/>
          <w:szCs w:val="24"/>
        </w:rPr>
        <w:t xml:space="preserve"> a significant interaction between lifetime PTSD and lifetime SUDs class on ASI (F(5, 1497)=2.58, p=0.03). Among those in the “none”, “alcohol and cocaine”, “opiate and cocaine”, “hallucinogen only”, and “all” classes, those who had PTSD had higher ASI sco</w:t>
      </w:r>
      <w:r>
        <w:rPr>
          <w:rFonts w:ascii="Times New Roman" w:eastAsia="Times New Roman" w:hAnsi="Times New Roman" w:cs="Times New Roman"/>
          <w:sz w:val="24"/>
          <w:szCs w:val="24"/>
        </w:rPr>
        <w:t>res than those who did not. In the absence of PTSD, those in the “none” class had significantly lower ASI scores than those of any other class. This relationship was no longer significant in the presence of PTSD. Marginal means and confidence intervals are</w:t>
      </w:r>
      <w:r>
        <w:rPr>
          <w:rFonts w:ascii="Times New Roman" w:eastAsia="Times New Roman" w:hAnsi="Times New Roman" w:cs="Times New Roman"/>
          <w:sz w:val="24"/>
          <w:szCs w:val="24"/>
        </w:rPr>
        <w:t xml:space="preserve"> presented in Table 10. Figure 4 shows a graphical representation of these group differences. </w:t>
      </w:r>
    </w:p>
    <w:p w14:paraId="2DA0C320" w14:textId="77777777" w:rsidR="00D90040" w:rsidRDefault="00D90040">
      <w:pPr>
        <w:spacing w:before="100" w:line="216" w:lineRule="auto"/>
        <w:jc w:val="center"/>
        <w:rPr>
          <w:rFonts w:ascii="Times New Roman" w:eastAsia="Times New Roman" w:hAnsi="Times New Roman" w:cs="Times New Roman"/>
          <w:b/>
          <w:sz w:val="24"/>
          <w:szCs w:val="24"/>
          <w:highlight w:val="white"/>
        </w:rPr>
      </w:pPr>
    </w:p>
    <w:p w14:paraId="0B6A7BB8" w14:textId="77777777" w:rsidR="00D90040" w:rsidRDefault="00B46279">
      <w:pPr>
        <w:spacing w:before="100" w:line="216" w:lineRule="auto"/>
        <w:jc w:val="center"/>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Discussion</w:t>
      </w:r>
    </w:p>
    <w:p w14:paraId="0F18F433" w14:textId="77777777" w:rsidR="00D90040" w:rsidRDefault="00B46279">
      <w:pPr>
        <w:spacing w:before="10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ab/>
      </w:r>
      <w:r>
        <w:rPr>
          <w:rFonts w:ascii="Times New Roman" w:eastAsia="Times New Roman" w:hAnsi="Times New Roman" w:cs="Times New Roman"/>
          <w:sz w:val="24"/>
          <w:szCs w:val="24"/>
          <w:highlight w:val="white"/>
        </w:rPr>
        <w:t>This study explored the impact of lifetime PTSD and SUD(s) on AS. As expected, individuals diagnosed with lifetime PTSD reported greater AS than tho</w:t>
      </w:r>
      <w:r>
        <w:rPr>
          <w:rFonts w:ascii="Times New Roman" w:eastAsia="Times New Roman" w:hAnsi="Times New Roman" w:cs="Times New Roman"/>
          <w:sz w:val="24"/>
          <w:szCs w:val="24"/>
          <w:highlight w:val="white"/>
        </w:rPr>
        <w:t>se without. Additionally, individuals diagnosed with any current or lifetime SUDs also reported greater AS than those without. Furthermore, when examining individual SUDs, we found that PTSD did not moderate the relationship between SUDs and AS. However, P</w:t>
      </w:r>
      <w:r>
        <w:rPr>
          <w:rFonts w:ascii="Times New Roman" w:eastAsia="Times New Roman" w:hAnsi="Times New Roman" w:cs="Times New Roman"/>
          <w:sz w:val="24"/>
          <w:szCs w:val="24"/>
          <w:highlight w:val="white"/>
        </w:rPr>
        <w:t>TSD did strengthen the positive relationship between grouped SUDs and AS. That is, as the number of SUDs one met for increased, so did their AS. This phenomenon was observed in both the grouped current and lifetime SUDs. Additionally, we found that PTSD mo</w:t>
      </w:r>
      <w:r>
        <w:rPr>
          <w:rFonts w:ascii="Times New Roman" w:eastAsia="Times New Roman" w:hAnsi="Times New Roman" w:cs="Times New Roman"/>
          <w:sz w:val="24"/>
          <w:szCs w:val="24"/>
          <w:highlight w:val="white"/>
        </w:rPr>
        <w:t>derated the association between AS and SUDs class. Each SUDs class had higher AS on average compared to those without a SUD. AS was even greater across SUDs when PTSD was present.</w:t>
      </w:r>
    </w:p>
    <w:p w14:paraId="4B5CFE67" w14:textId="77777777" w:rsidR="00D90040" w:rsidRDefault="00B46279">
      <w:pPr>
        <w:spacing w:before="10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lastRenderedPageBreak/>
        <w:t xml:space="preserve"> Prior research corroborates the positive relationship between AS and PTS</w:t>
      </w:r>
      <w:r>
        <w:rPr>
          <w:rFonts w:ascii="Times New Roman" w:eastAsia="Times New Roman" w:hAnsi="Times New Roman" w:cs="Times New Roman"/>
          <w:sz w:val="24"/>
          <w:szCs w:val="24"/>
          <w:highlight w:val="white"/>
        </w:rPr>
        <w:t xml:space="preserve">D we found in our study </w:t>
      </w:r>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Gillihan</w:t>
      </w:r>
      <w:proofErr w:type="spellEnd"/>
      <w:r>
        <w:rPr>
          <w:rFonts w:ascii="Times New Roman" w:eastAsia="Times New Roman" w:hAnsi="Times New Roman" w:cs="Times New Roman"/>
          <w:sz w:val="24"/>
          <w:szCs w:val="24"/>
        </w:rPr>
        <w:t xml:space="preserve"> et al., 2011; </w:t>
      </w:r>
      <w:proofErr w:type="spellStart"/>
      <w:r>
        <w:rPr>
          <w:rFonts w:ascii="Times New Roman" w:eastAsia="Times New Roman" w:hAnsi="Times New Roman" w:cs="Times New Roman"/>
          <w:sz w:val="24"/>
          <w:szCs w:val="24"/>
        </w:rPr>
        <w:t>Stathopoulou</w:t>
      </w:r>
      <w:proofErr w:type="spellEnd"/>
      <w:r>
        <w:rPr>
          <w:rFonts w:ascii="Times New Roman" w:eastAsia="Times New Roman" w:hAnsi="Times New Roman" w:cs="Times New Roman"/>
          <w:sz w:val="24"/>
          <w:szCs w:val="24"/>
        </w:rPr>
        <w:t xml:space="preserve"> et al., 2018; Simpson et al., 2006; McHugh et al., 2017). Because we conducted a cross-sectional analysis, we </w:t>
      </w:r>
      <w:proofErr w:type="spellStart"/>
      <w:r>
        <w:rPr>
          <w:rFonts w:ascii="Times New Roman" w:eastAsia="Times New Roman" w:hAnsi="Times New Roman" w:cs="Times New Roman"/>
          <w:sz w:val="24"/>
          <w:szCs w:val="24"/>
        </w:rPr>
        <w:t>can not</w:t>
      </w:r>
      <w:proofErr w:type="spellEnd"/>
      <w:r>
        <w:rPr>
          <w:rFonts w:ascii="Times New Roman" w:eastAsia="Times New Roman" w:hAnsi="Times New Roman" w:cs="Times New Roman"/>
          <w:sz w:val="24"/>
          <w:szCs w:val="24"/>
        </w:rPr>
        <w:t xml:space="preserve"> determine causal relationships among PTSD, AS, and SUDs</w:t>
      </w:r>
      <w:r>
        <w:rPr>
          <w:rFonts w:ascii="Times New Roman" w:eastAsia="Times New Roman" w:hAnsi="Times New Roman" w:cs="Times New Roman"/>
          <w:sz w:val="24"/>
          <w:szCs w:val="24"/>
        </w:rPr>
        <w:t>. However, previous</w:t>
      </w:r>
      <w:r>
        <w:rPr>
          <w:rFonts w:ascii="Times New Roman" w:eastAsia="Times New Roman" w:hAnsi="Times New Roman" w:cs="Times New Roman"/>
          <w:sz w:val="24"/>
          <w:szCs w:val="24"/>
        </w:rPr>
        <w:t xml:space="preserve"> studies indicated a bi-directional relationship between at least PTSD and AS. For example, research from patients with traumatic physical injuries indicates that not only does AS predict PTSD symptom severity over time, but reducing AS also results in a c</w:t>
      </w:r>
      <w:r>
        <w:rPr>
          <w:rFonts w:ascii="Times New Roman" w:eastAsia="Times New Roman" w:hAnsi="Times New Roman" w:cs="Times New Roman"/>
          <w:sz w:val="24"/>
          <w:szCs w:val="24"/>
        </w:rPr>
        <w:t xml:space="preserve">orresponding decrease in PTSD symptom severity (Marshall et al., 2010; </w:t>
      </w:r>
      <w:proofErr w:type="spellStart"/>
      <w:r>
        <w:rPr>
          <w:rFonts w:ascii="Times New Roman" w:eastAsia="Times New Roman" w:hAnsi="Times New Roman" w:cs="Times New Roman"/>
          <w:sz w:val="24"/>
          <w:szCs w:val="24"/>
        </w:rPr>
        <w:t>Fedroff</w:t>
      </w:r>
      <w:proofErr w:type="spellEnd"/>
      <w:r>
        <w:rPr>
          <w:rFonts w:ascii="Times New Roman" w:eastAsia="Times New Roman" w:hAnsi="Times New Roman" w:cs="Times New Roman"/>
          <w:sz w:val="24"/>
          <w:szCs w:val="24"/>
        </w:rPr>
        <w:t xml:space="preserve"> et al., 2000). Additionally, PTSD was shown to increase AS over time (Marshall et al., 2000). Thus, this evidence suggests that there is likely a bidirectional relationship betw</w:t>
      </w:r>
      <w:r>
        <w:rPr>
          <w:rFonts w:ascii="Times New Roman" w:eastAsia="Times New Roman" w:hAnsi="Times New Roman" w:cs="Times New Roman"/>
          <w:sz w:val="24"/>
          <w:szCs w:val="24"/>
        </w:rPr>
        <w:t>een the two (</w:t>
      </w:r>
      <w:proofErr w:type="spellStart"/>
      <w:r>
        <w:rPr>
          <w:rFonts w:ascii="Times New Roman" w:eastAsia="Times New Roman" w:hAnsi="Times New Roman" w:cs="Times New Roman"/>
          <w:sz w:val="24"/>
          <w:szCs w:val="24"/>
        </w:rPr>
        <w:t>Fedroff</w:t>
      </w:r>
      <w:proofErr w:type="spellEnd"/>
      <w:r>
        <w:rPr>
          <w:rFonts w:ascii="Times New Roman" w:eastAsia="Times New Roman" w:hAnsi="Times New Roman" w:cs="Times New Roman"/>
          <w:sz w:val="24"/>
          <w:szCs w:val="24"/>
        </w:rPr>
        <w:t xml:space="preserve"> et al., 2000; Marshall et al., 2010).</w:t>
      </w:r>
    </w:p>
    <w:p w14:paraId="49987FE5" w14:textId="77777777" w:rsidR="00D90040" w:rsidRDefault="00B46279">
      <w:pPr>
        <w:spacing w:before="10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Another important finding of the current study is that both current and lifetime SUDs are associated with greater AS. This relationship existed throughout all of our measures of SUDs (individual, grouped, and classes). In addition, those meeting criteria f</w:t>
      </w:r>
      <w:r>
        <w:rPr>
          <w:rFonts w:ascii="Times New Roman" w:eastAsia="Times New Roman" w:hAnsi="Times New Roman" w:cs="Times New Roman"/>
          <w:sz w:val="24"/>
          <w:szCs w:val="24"/>
        </w:rPr>
        <w:t>or a greater number of SUDs reported greater AS. Surprisingly, this relationship did not exist among those with PTSD. When PTSD was present, there was no significant difference in AS in participants who had one SUD and those who had no SUDs</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However, there was a significant increase in AS for those who had multiple SUDs compared to other groups. As discussed, PTSD has been linked with greater AS (</w:t>
      </w:r>
      <w:proofErr w:type="spellStart"/>
      <w:r>
        <w:rPr>
          <w:rFonts w:ascii="Times New Roman" w:eastAsia="Times New Roman" w:hAnsi="Times New Roman" w:cs="Times New Roman"/>
          <w:sz w:val="24"/>
          <w:szCs w:val="24"/>
        </w:rPr>
        <w:t>Gillihan</w:t>
      </w:r>
      <w:proofErr w:type="spellEnd"/>
      <w:r>
        <w:rPr>
          <w:rFonts w:ascii="Times New Roman" w:eastAsia="Times New Roman" w:hAnsi="Times New Roman" w:cs="Times New Roman"/>
          <w:sz w:val="24"/>
          <w:szCs w:val="24"/>
        </w:rPr>
        <w:t xml:space="preserve"> et al., 2011; </w:t>
      </w:r>
      <w:proofErr w:type="spellStart"/>
      <w:r>
        <w:rPr>
          <w:rFonts w:ascii="Times New Roman" w:eastAsia="Times New Roman" w:hAnsi="Times New Roman" w:cs="Times New Roman"/>
          <w:sz w:val="24"/>
          <w:szCs w:val="24"/>
        </w:rPr>
        <w:t>Stathopoulou</w:t>
      </w:r>
      <w:proofErr w:type="spellEnd"/>
      <w:r>
        <w:rPr>
          <w:rFonts w:ascii="Times New Roman" w:eastAsia="Times New Roman" w:hAnsi="Times New Roman" w:cs="Times New Roman"/>
          <w:sz w:val="24"/>
          <w:szCs w:val="24"/>
        </w:rPr>
        <w:t xml:space="preserve"> et al., 2018; Simpson et al., 2006; McHugh et al., 2017). Our </w:t>
      </w:r>
      <w:r>
        <w:rPr>
          <w:rFonts w:ascii="Times New Roman" w:eastAsia="Times New Roman" w:hAnsi="Times New Roman" w:cs="Times New Roman"/>
          <w:sz w:val="24"/>
          <w:szCs w:val="24"/>
        </w:rPr>
        <w:t>two-way ANCOVAs consistently revealed that lifetime PTSD was associated with greater AS on average, compared to any of our current or lifetime SUDs classifications (individual, grouped, and classes).</w:t>
      </w:r>
      <w:r>
        <w:rPr>
          <w:rFonts w:ascii="Times New Roman" w:eastAsia="Times New Roman" w:hAnsi="Times New Roman" w:cs="Times New Roman"/>
          <w:sz w:val="24"/>
          <w:szCs w:val="24"/>
        </w:rPr>
        <w:t xml:space="preserve"> As such, PTSD may be associated with such a </w:t>
      </w:r>
      <w:r>
        <w:rPr>
          <w:rFonts w:ascii="Times New Roman" w:eastAsia="Times New Roman" w:hAnsi="Times New Roman" w:cs="Times New Roman"/>
          <w:sz w:val="24"/>
          <w:szCs w:val="24"/>
        </w:rPr>
        <w:t xml:space="preserve">high increase in AS </w:t>
      </w:r>
      <w:proofErr w:type="spellStart"/>
      <w:r>
        <w:rPr>
          <w:rFonts w:ascii="Times New Roman" w:eastAsia="Times New Roman" w:hAnsi="Times New Roman" w:cs="Times New Roman"/>
          <w:sz w:val="24"/>
          <w:szCs w:val="24"/>
        </w:rPr>
        <w:t>as</w:t>
      </w:r>
      <w:proofErr w:type="spellEnd"/>
      <w:r>
        <w:rPr>
          <w:rFonts w:ascii="Times New Roman" w:eastAsia="Times New Roman" w:hAnsi="Times New Roman" w:cs="Times New Roman"/>
          <w:sz w:val="24"/>
          <w:szCs w:val="24"/>
        </w:rPr>
        <w:t xml:space="preserve"> to overwhelm the effect of the number of SUDs in our analyses. </w:t>
      </w:r>
    </w:p>
    <w:p w14:paraId="7A6F6328" w14:textId="77777777" w:rsidR="00D90040" w:rsidRDefault="00B46279">
      <w:pPr>
        <w:spacing w:before="100"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lastRenderedPageBreak/>
        <w:t xml:space="preserve">Interestingly, PTSD did not impact the relationship between AS and individual current or lifetime SUDs. McHugh and colleagues (2017) found similar results and concluded </w:t>
      </w:r>
      <w:r>
        <w:rPr>
          <w:rFonts w:ascii="Times New Roman" w:eastAsia="Times New Roman" w:hAnsi="Times New Roman" w:cs="Times New Roman"/>
          <w:sz w:val="24"/>
          <w:szCs w:val="24"/>
        </w:rPr>
        <w:t>that the relationship between PTSD and AS was consistent across SUDs, suggesting that diagnosis of a particular SUD does not have a significant impact. In line with our hypothesis, the relationship between multiple SUDs and AS was greater in those with lif</w:t>
      </w:r>
      <w:r>
        <w:rPr>
          <w:rFonts w:ascii="Times New Roman" w:eastAsia="Times New Roman" w:hAnsi="Times New Roman" w:cs="Times New Roman"/>
          <w:sz w:val="24"/>
          <w:szCs w:val="24"/>
        </w:rPr>
        <w:t>etime PTSD. AS has been linked to drinking motives in prior studies, such that participants were more likely to drink in order to reduce negative affect when endorsing both high anxiety sensitivity and severe PTSD symptoms (</w:t>
      </w:r>
      <w:proofErr w:type="spellStart"/>
      <w:r>
        <w:rPr>
          <w:rFonts w:ascii="Times New Roman" w:eastAsia="Times New Roman" w:hAnsi="Times New Roman" w:cs="Times New Roman"/>
          <w:sz w:val="24"/>
          <w:szCs w:val="24"/>
        </w:rPr>
        <w:t>Berenz</w:t>
      </w:r>
      <w:proofErr w:type="spellEnd"/>
      <w:r>
        <w:rPr>
          <w:rFonts w:ascii="Times New Roman" w:eastAsia="Times New Roman" w:hAnsi="Times New Roman" w:cs="Times New Roman"/>
          <w:sz w:val="24"/>
          <w:szCs w:val="24"/>
        </w:rPr>
        <w:t xml:space="preserve"> et al., 2016). While </w:t>
      </w:r>
      <w:proofErr w:type="spellStart"/>
      <w:r>
        <w:rPr>
          <w:rFonts w:ascii="Times New Roman" w:eastAsia="Times New Roman" w:hAnsi="Times New Roman" w:cs="Times New Roman"/>
          <w:sz w:val="24"/>
          <w:szCs w:val="24"/>
        </w:rPr>
        <w:t>Bere</w:t>
      </w:r>
      <w:r>
        <w:rPr>
          <w:rFonts w:ascii="Times New Roman" w:eastAsia="Times New Roman" w:hAnsi="Times New Roman" w:cs="Times New Roman"/>
          <w:sz w:val="24"/>
          <w:szCs w:val="24"/>
        </w:rPr>
        <w:t>nz</w:t>
      </w:r>
      <w:proofErr w:type="spellEnd"/>
      <w:r>
        <w:rPr>
          <w:rFonts w:ascii="Times New Roman" w:eastAsia="Times New Roman" w:hAnsi="Times New Roman" w:cs="Times New Roman"/>
          <w:sz w:val="24"/>
          <w:szCs w:val="24"/>
        </w:rPr>
        <w:t xml:space="preserve"> and colleagues (2016) focused solely on alcohol coping, our results support that this phenomenon may apply to other substances. Future studies are needed to explore this possibility.</w:t>
      </w:r>
    </w:p>
    <w:p w14:paraId="1E3BF61C" w14:textId="77777777" w:rsidR="00D90040" w:rsidRDefault="00B46279">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ab/>
        <w:t>While this study importantly investigates the role of lifetime PTSD o</w:t>
      </w:r>
      <w:r>
        <w:rPr>
          <w:rFonts w:ascii="Times New Roman" w:eastAsia="Times New Roman" w:hAnsi="Times New Roman" w:cs="Times New Roman"/>
          <w:sz w:val="24"/>
          <w:szCs w:val="24"/>
          <w:highlight w:val="white"/>
        </w:rPr>
        <w:t xml:space="preserve">n the AS and SUDs relationship, it does have limitations. </w:t>
      </w:r>
      <w:r>
        <w:rPr>
          <w:rFonts w:ascii="Times New Roman" w:eastAsia="Times New Roman" w:hAnsi="Times New Roman" w:cs="Times New Roman"/>
          <w:sz w:val="24"/>
          <w:szCs w:val="24"/>
        </w:rPr>
        <w:t xml:space="preserve">First, while many participants met for both PTSD and SUDs, numbers of those meeting for both PTSD and a specific substance and/or class were sometimes smaller. This has important power implications </w:t>
      </w:r>
      <w:r>
        <w:rPr>
          <w:rFonts w:ascii="Times New Roman" w:eastAsia="Times New Roman" w:hAnsi="Times New Roman" w:cs="Times New Roman"/>
          <w:sz w:val="24"/>
          <w:szCs w:val="24"/>
        </w:rPr>
        <w:t>and may have limited our ability to detect an interaction between PTSD and individual SUDs. Second, diagnoses of PTSD and SUDs were based on the DSM-IV; it is therefore possible that some participants who met for SUDs and PTSD in our study would not receiv</w:t>
      </w:r>
      <w:r>
        <w:rPr>
          <w:rFonts w:ascii="Times New Roman" w:eastAsia="Times New Roman" w:hAnsi="Times New Roman" w:cs="Times New Roman"/>
          <w:sz w:val="24"/>
          <w:szCs w:val="24"/>
        </w:rPr>
        <w:t xml:space="preserve">e the same diagnosis in the DSM-V. Third, this study used a dichotomous diagnosis of both PTSD and SUDs, and did not include symptom severity in its analyses. Consequently, while evidence suggests the PTSD is correlated with the presence of a SUD, we were </w:t>
      </w:r>
      <w:r>
        <w:rPr>
          <w:rFonts w:ascii="Times New Roman" w:eastAsia="Times New Roman" w:hAnsi="Times New Roman" w:cs="Times New Roman"/>
          <w:sz w:val="24"/>
          <w:szCs w:val="24"/>
        </w:rPr>
        <w:t xml:space="preserve">unable to determine how this relationship changed with more severe symptoms. Finally, our sample was 90% Black, which allowed us to importantly examine these relationships among a population that is both underrepresented in the current literature, and </w:t>
      </w:r>
      <w:r>
        <w:rPr>
          <w:rFonts w:ascii="Times New Roman" w:eastAsia="Times New Roman" w:hAnsi="Times New Roman" w:cs="Times New Roman"/>
          <w:sz w:val="24"/>
          <w:szCs w:val="24"/>
        </w:rPr>
        <w:lastRenderedPageBreak/>
        <w:t>unde</w:t>
      </w:r>
      <w:r>
        <w:rPr>
          <w:rFonts w:ascii="Times New Roman" w:eastAsia="Times New Roman" w:hAnsi="Times New Roman" w:cs="Times New Roman"/>
          <w:sz w:val="24"/>
          <w:szCs w:val="24"/>
        </w:rPr>
        <w:t xml:space="preserve">rserved clinically. However these results may not be transferable to individuals of other races. </w:t>
      </w:r>
    </w:p>
    <w:p w14:paraId="7D5D5E52" w14:textId="77777777" w:rsidR="00D90040" w:rsidRDefault="00B46279">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Our findings have important implications for future research. First, future research should include measures of symptom severity in order to elucidate the re</w:t>
      </w:r>
      <w:r>
        <w:rPr>
          <w:rFonts w:ascii="Times New Roman" w:eastAsia="Times New Roman" w:hAnsi="Times New Roman" w:cs="Times New Roman"/>
          <w:sz w:val="24"/>
          <w:szCs w:val="24"/>
        </w:rPr>
        <w:t xml:space="preserve">lationship between PTSD, AS, and SUDs.  Future research should also investigate whether substance use actually resulted in a decrease in PTSD symptom severity and/or AS. If people are taking substances to cope with their negative affect, then there should </w:t>
      </w:r>
      <w:r>
        <w:rPr>
          <w:rFonts w:ascii="Times New Roman" w:eastAsia="Times New Roman" w:hAnsi="Times New Roman" w:cs="Times New Roman"/>
          <w:sz w:val="24"/>
          <w:szCs w:val="24"/>
        </w:rPr>
        <w:t>be a decrease (even if temporary) in symptoms to maintain this motivation. Second, a longitudinal, prospective study is necessary to understand whether or not high AS precedes the development of PTSD and/or SUDs (or whether some other temporal relationship</w:t>
      </w:r>
      <w:r>
        <w:rPr>
          <w:rFonts w:ascii="Times New Roman" w:eastAsia="Times New Roman" w:hAnsi="Times New Roman" w:cs="Times New Roman"/>
          <w:sz w:val="24"/>
          <w:szCs w:val="24"/>
        </w:rPr>
        <w:t xml:space="preserve"> exists). This information could be helpful in identifying individuals at-risk for PTSD or SUDs. Third, it would be interesting to understand the role, if any, race plays in the PTSD, AS, and SUDs relationship. Finally, to maximize the clinical application</w:t>
      </w:r>
      <w:r>
        <w:rPr>
          <w:rFonts w:ascii="Times New Roman" w:eastAsia="Times New Roman" w:hAnsi="Times New Roman" w:cs="Times New Roman"/>
          <w:sz w:val="24"/>
          <w:szCs w:val="24"/>
        </w:rPr>
        <w:t xml:space="preserve">s of this research topic, researchers could explore treatment seeking behaviors in patients with high AS, PTSD and SUDs. </w:t>
      </w:r>
    </w:p>
    <w:p w14:paraId="01F85AF1" w14:textId="77777777" w:rsidR="00D90040" w:rsidRDefault="00B46279">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The results of this study have important clinical implications. Traditional treatment, which </w:t>
      </w:r>
      <w:r>
        <w:rPr>
          <w:rFonts w:ascii="Times New Roman" w:eastAsia="Times New Roman" w:hAnsi="Times New Roman" w:cs="Times New Roman"/>
          <w:sz w:val="24"/>
          <w:szCs w:val="24"/>
          <w:highlight w:val="white"/>
        </w:rPr>
        <w:t>focuses on PTSD and SUDs in isolation, h</w:t>
      </w:r>
      <w:r>
        <w:rPr>
          <w:rFonts w:ascii="Times New Roman" w:eastAsia="Times New Roman" w:hAnsi="Times New Roman" w:cs="Times New Roman"/>
          <w:sz w:val="24"/>
          <w:szCs w:val="24"/>
          <w:highlight w:val="white"/>
        </w:rPr>
        <w:t xml:space="preserve">as been shown to be less effective than simultaneous care </w:t>
      </w:r>
      <w:r>
        <w:rPr>
          <w:rFonts w:ascii="Times New Roman" w:eastAsia="Times New Roman" w:hAnsi="Times New Roman" w:cs="Times New Roman"/>
          <w:sz w:val="24"/>
          <w:szCs w:val="24"/>
        </w:rPr>
        <w:t xml:space="preserve">(Stewart et al., 1996). Thus, the large overlap in PTSD and SUDs cases supports the continuation of treatments that focus on treating PTSD and SUDs simultaneously, such as </w:t>
      </w:r>
      <w:r>
        <w:rPr>
          <w:rFonts w:ascii="Times New Roman" w:eastAsia="Times New Roman" w:hAnsi="Times New Roman" w:cs="Times New Roman"/>
          <w:i/>
          <w:sz w:val="24"/>
          <w:szCs w:val="24"/>
        </w:rPr>
        <w:t xml:space="preserve">Seeking Safety </w:t>
      </w:r>
      <w:r>
        <w:rPr>
          <w:rFonts w:ascii="Times New Roman" w:eastAsia="Times New Roman" w:hAnsi="Times New Roman" w:cs="Times New Roman"/>
          <w:sz w:val="24"/>
          <w:szCs w:val="24"/>
        </w:rPr>
        <w:t xml:space="preserve">and </w:t>
      </w:r>
      <w:r>
        <w:rPr>
          <w:rFonts w:ascii="Times New Roman" w:eastAsia="Times New Roman" w:hAnsi="Times New Roman" w:cs="Times New Roman"/>
          <w:i/>
          <w:sz w:val="24"/>
          <w:szCs w:val="24"/>
        </w:rPr>
        <w:t>Integra</w:t>
      </w:r>
      <w:r>
        <w:rPr>
          <w:rFonts w:ascii="Times New Roman" w:eastAsia="Times New Roman" w:hAnsi="Times New Roman" w:cs="Times New Roman"/>
          <w:i/>
          <w:sz w:val="24"/>
          <w:szCs w:val="24"/>
        </w:rPr>
        <w:t xml:space="preserve">ted Cognitive Behavioral Therapy for PTSD and SUD </w:t>
      </w:r>
      <w:r>
        <w:rPr>
          <w:rFonts w:ascii="Times New Roman" w:eastAsia="Times New Roman" w:hAnsi="Times New Roman" w:cs="Times New Roman"/>
          <w:sz w:val="24"/>
          <w:szCs w:val="24"/>
        </w:rPr>
        <w:t>(Capone et al., 2018). Additionally, given that AS is highly correlated with both conditions and is highly malleable, targeting AS may be an effective way to mitigate co-existing PTSD and SUD symptoms (Smit</w:t>
      </w:r>
      <w:r>
        <w:rPr>
          <w:rFonts w:ascii="Times New Roman" w:eastAsia="Times New Roman" w:hAnsi="Times New Roman" w:cs="Times New Roman"/>
          <w:sz w:val="24"/>
          <w:szCs w:val="24"/>
        </w:rPr>
        <w:t xml:space="preserve">s et al., 2008). In fact, researchers are currently exploring ways to utilize AS-based interventions. One promising method is cognitive anxiety sensitivity treatment </w:t>
      </w:r>
      <w:r>
        <w:rPr>
          <w:rFonts w:ascii="Times New Roman" w:eastAsia="Times New Roman" w:hAnsi="Times New Roman" w:cs="Times New Roman"/>
          <w:sz w:val="24"/>
          <w:szCs w:val="24"/>
        </w:rPr>
        <w:lastRenderedPageBreak/>
        <w:t xml:space="preserve">(CAST), a 45-minute computerized session that combines education with guided </w:t>
      </w:r>
      <w:proofErr w:type="spellStart"/>
      <w:r>
        <w:rPr>
          <w:rFonts w:ascii="Times New Roman" w:eastAsia="Times New Roman" w:hAnsi="Times New Roman" w:cs="Times New Roman"/>
          <w:sz w:val="24"/>
          <w:szCs w:val="24"/>
        </w:rPr>
        <w:t>interoceptive</w:t>
      </w:r>
      <w:proofErr w:type="spellEnd"/>
      <w:r>
        <w:rPr>
          <w:rFonts w:ascii="Times New Roman" w:eastAsia="Times New Roman" w:hAnsi="Times New Roman" w:cs="Times New Roman"/>
          <w:sz w:val="24"/>
          <w:szCs w:val="24"/>
        </w:rPr>
        <w:t xml:space="preserve"> exposure to reduce the fear associated with anxiety-related physiological symptoms (</w:t>
      </w:r>
      <w:r>
        <w:rPr>
          <w:rFonts w:ascii="Times New Roman" w:eastAsia="Times New Roman" w:hAnsi="Times New Roman" w:cs="Times New Roman"/>
          <w:sz w:val="24"/>
          <w:szCs w:val="24"/>
          <w:highlight w:val="white"/>
        </w:rPr>
        <w:t>Schmidt et al.,  2014).</w:t>
      </w:r>
      <w:r>
        <w:rPr>
          <w:rFonts w:ascii="Times New Roman" w:eastAsia="Times New Roman" w:hAnsi="Times New Roman" w:cs="Times New Roman"/>
          <w:sz w:val="24"/>
          <w:szCs w:val="24"/>
        </w:rPr>
        <w:t xml:space="preserve"> Pilot studies in veteran populations have indicated small to medium reductions in PTSD and opioid use (</w:t>
      </w:r>
      <w:proofErr w:type="spellStart"/>
      <w:r>
        <w:rPr>
          <w:rFonts w:ascii="Times New Roman" w:eastAsia="Times New Roman" w:hAnsi="Times New Roman" w:cs="Times New Roman"/>
          <w:sz w:val="24"/>
          <w:szCs w:val="24"/>
        </w:rPr>
        <w:t>Norr</w:t>
      </w:r>
      <w:proofErr w:type="spellEnd"/>
      <w:r>
        <w:rPr>
          <w:rFonts w:ascii="Times New Roman" w:eastAsia="Times New Roman" w:hAnsi="Times New Roman" w:cs="Times New Roman"/>
          <w:sz w:val="24"/>
          <w:szCs w:val="24"/>
        </w:rPr>
        <w:t xml:space="preserve"> et al., 2020; Raines et al., 2019). The</w:t>
      </w:r>
      <w:r>
        <w:rPr>
          <w:rFonts w:ascii="Times New Roman" w:eastAsia="Times New Roman" w:hAnsi="Times New Roman" w:cs="Times New Roman"/>
          <w:sz w:val="24"/>
          <w:szCs w:val="24"/>
        </w:rPr>
        <w:t xml:space="preserve">se findings present a relatively affordable, accessible, and non-pharmacological method of treating individuals with PTSD and SUDs, and potentially reducing the risk of developing PTSD and/or a SUD in at-risk individuals. </w:t>
      </w:r>
    </w:p>
    <w:p w14:paraId="2FC57970" w14:textId="77777777" w:rsidR="00D90040" w:rsidRDefault="00B46279">
      <w:pPr>
        <w:spacing w:before="10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Conclusion</w:t>
      </w:r>
    </w:p>
    <w:p w14:paraId="45D085C5" w14:textId="77777777" w:rsidR="00D90040" w:rsidRDefault="00B46279">
      <w:pPr>
        <w:spacing w:before="10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This study establishe</w:t>
      </w:r>
      <w:r>
        <w:rPr>
          <w:rFonts w:ascii="Times New Roman" w:eastAsia="Times New Roman" w:hAnsi="Times New Roman" w:cs="Times New Roman"/>
          <w:sz w:val="24"/>
          <w:szCs w:val="24"/>
        </w:rPr>
        <w:t xml:space="preserve">d a positive association between anxiety sensitivity and substance use disorders that is strengthened by the presence of PTSD. More specifically, individuals who have or have had multiple substance use disorders have greater anxiety sensitivity than those </w:t>
      </w:r>
      <w:r>
        <w:rPr>
          <w:rFonts w:ascii="Times New Roman" w:eastAsia="Times New Roman" w:hAnsi="Times New Roman" w:cs="Times New Roman"/>
          <w:sz w:val="24"/>
          <w:szCs w:val="24"/>
        </w:rPr>
        <w:t xml:space="preserve">with one or no substance use disorders. Thus, polysubstance users may be at greater risk for high anxiety sensitivity, and consequently, potential targets for treatment. Future research should explore whether or not anxiety sensitivity is an antecedent or </w:t>
      </w:r>
      <w:r>
        <w:rPr>
          <w:rFonts w:ascii="Times New Roman" w:eastAsia="Times New Roman" w:hAnsi="Times New Roman" w:cs="Times New Roman"/>
          <w:sz w:val="24"/>
          <w:szCs w:val="24"/>
        </w:rPr>
        <w:t xml:space="preserve">consequence of PTSD and SUDs. </w:t>
      </w:r>
    </w:p>
    <w:p w14:paraId="6BA8BD5E" w14:textId="77777777" w:rsidR="00D90040" w:rsidRDefault="00D90040">
      <w:pPr>
        <w:spacing w:before="100" w:line="480" w:lineRule="auto"/>
        <w:rPr>
          <w:rFonts w:ascii="Times New Roman" w:eastAsia="Times New Roman" w:hAnsi="Times New Roman" w:cs="Times New Roman"/>
          <w:sz w:val="24"/>
          <w:szCs w:val="24"/>
        </w:rPr>
      </w:pPr>
    </w:p>
    <w:p w14:paraId="4375A114" w14:textId="77777777" w:rsidR="00D90040" w:rsidRDefault="00D90040">
      <w:pPr>
        <w:spacing w:before="100" w:line="480" w:lineRule="auto"/>
        <w:rPr>
          <w:rFonts w:ascii="Times New Roman" w:eastAsia="Times New Roman" w:hAnsi="Times New Roman" w:cs="Times New Roman"/>
          <w:sz w:val="24"/>
          <w:szCs w:val="24"/>
        </w:rPr>
      </w:pPr>
    </w:p>
    <w:p w14:paraId="12B165B1" w14:textId="77777777" w:rsidR="00D90040" w:rsidRDefault="00D90040">
      <w:pPr>
        <w:spacing w:before="100" w:line="480" w:lineRule="auto"/>
        <w:rPr>
          <w:rFonts w:ascii="Times New Roman" w:eastAsia="Times New Roman" w:hAnsi="Times New Roman" w:cs="Times New Roman"/>
          <w:sz w:val="24"/>
          <w:szCs w:val="24"/>
        </w:rPr>
      </w:pPr>
    </w:p>
    <w:p w14:paraId="3A970095" w14:textId="77777777" w:rsidR="00D90040" w:rsidRDefault="00D90040">
      <w:pPr>
        <w:spacing w:before="100" w:line="480" w:lineRule="auto"/>
        <w:rPr>
          <w:rFonts w:ascii="Times New Roman" w:eastAsia="Times New Roman" w:hAnsi="Times New Roman" w:cs="Times New Roman"/>
          <w:sz w:val="24"/>
          <w:szCs w:val="24"/>
        </w:rPr>
      </w:pPr>
    </w:p>
    <w:p w14:paraId="4DFE2055" w14:textId="77777777" w:rsidR="00D90040" w:rsidRDefault="00D90040">
      <w:pPr>
        <w:spacing w:before="100" w:line="480" w:lineRule="auto"/>
        <w:rPr>
          <w:rFonts w:ascii="Times New Roman" w:eastAsia="Times New Roman" w:hAnsi="Times New Roman" w:cs="Times New Roman"/>
          <w:sz w:val="24"/>
          <w:szCs w:val="24"/>
        </w:rPr>
      </w:pPr>
    </w:p>
    <w:p w14:paraId="292B2C4E" w14:textId="77777777" w:rsidR="00D90040" w:rsidRDefault="00D90040">
      <w:pPr>
        <w:spacing w:before="100" w:line="480" w:lineRule="auto"/>
        <w:rPr>
          <w:rFonts w:ascii="Times New Roman" w:eastAsia="Times New Roman" w:hAnsi="Times New Roman" w:cs="Times New Roman"/>
          <w:sz w:val="24"/>
          <w:szCs w:val="24"/>
        </w:rPr>
      </w:pPr>
    </w:p>
    <w:p w14:paraId="784F747D" w14:textId="77777777" w:rsidR="00D90040" w:rsidRDefault="00D90040">
      <w:pPr>
        <w:spacing w:before="100" w:line="480" w:lineRule="auto"/>
        <w:rPr>
          <w:rFonts w:ascii="Times New Roman" w:eastAsia="Times New Roman" w:hAnsi="Times New Roman" w:cs="Times New Roman"/>
          <w:sz w:val="24"/>
          <w:szCs w:val="24"/>
        </w:rPr>
      </w:pPr>
    </w:p>
    <w:p w14:paraId="1B34DC8B" w14:textId="77777777" w:rsidR="00D90040" w:rsidRDefault="00D90040">
      <w:pPr>
        <w:spacing w:before="100" w:line="480" w:lineRule="auto"/>
        <w:rPr>
          <w:rFonts w:ascii="Times New Roman" w:eastAsia="Times New Roman" w:hAnsi="Times New Roman" w:cs="Times New Roman"/>
          <w:sz w:val="24"/>
          <w:szCs w:val="24"/>
        </w:rPr>
      </w:pPr>
    </w:p>
    <w:p w14:paraId="55FD8128" w14:textId="77777777" w:rsidR="00D90040" w:rsidRPr="00245CF7" w:rsidRDefault="00B46279">
      <w:pPr>
        <w:spacing w:before="100" w:line="480" w:lineRule="auto"/>
        <w:jc w:val="center"/>
        <w:rPr>
          <w:rFonts w:ascii="Times New Roman" w:eastAsia="Times New Roman" w:hAnsi="Times New Roman" w:cs="Times New Roman"/>
          <w:b/>
          <w:sz w:val="24"/>
          <w:szCs w:val="24"/>
        </w:rPr>
      </w:pPr>
      <w:r w:rsidRPr="00245CF7">
        <w:rPr>
          <w:rFonts w:ascii="Times New Roman" w:eastAsia="Times New Roman" w:hAnsi="Times New Roman" w:cs="Times New Roman"/>
          <w:b/>
          <w:sz w:val="24"/>
          <w:szCs w:val="24"/>
        </w:rPr>
        <w:lastRenderedPageBreak/>
        <w:t>References</w:t>
      </w:r>
    </w:p>
    <w:p w14:paraId="7950D25D" w14:textId="77777777" w:rsidR="00D90040" w:rsidRDefault="00B46279">
      <w:pPr>
        <w:widowControl w:val="0"/>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American Psychiatric Association (2000). </w:t>
      </w:r>
      <w:r>
        <w:rPr>
          <w:rFonts w:ascii="Times New Roman" w:eastAsia="Times New Roman" w:hAnsi="Times New Roman" w:cs="Times New Roman"/>
          <w:i/>
          <w:sz w:val="24"/>
          <w:szCs w:val="24"/>
          <w:highlight w:val="white"/>
        </w:rPr>
        <w:t>Diagnostic and statistical manual of mental disorders</w:t>
      </w:r>
      <w:r>
        <w:rPr>
          <w:rFonts w:ascii="Times New Roman" w:eastAsia="Times New Roman" w:hAnsi="Times New Roman" w:cs="Times New Roman"/>
          <w:sz w:val="24"/>
          <w:szCs w:val="24"/>
          <w:highlight w:val="white"/>
        </w:rPr>
        <w:t xml:space="preserve"> </w:t>
      </w:r>
    </w:p>
    <w:p w14:paraId="2CA33D23" w14:textId="77777777" w:rsidR="00D90040" w:rsidRDefault="00B46279">
      <w:pPr>
        <w:widowControl w:val="0"/>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(4th ed., Text Revision). Washington, DC: Author.</w:t>
      </w:r>
    </w:p>
    <w:p w14:paraId="0D6D2B3B" w14:textId="77777777" w:rsidR="00D90040" w:rsidRDefault="00B46279">
      <w:pPr>
        <w:widowControl w:val="0"/>
        <w:spacing w:line="480" w:lineRule="auto"/>
        <w:rPr>
          <w:rFonts w:ascii="Times New Roman" w:eastAsia="Times New Roman" w:hAnsi="Times New Roman" w:cs="Times New Roman"/>
          <w:i/>
          <w:sz w:val="24"/>
          <w:szCs w:val="24"/>
          <w:highlight w:val="white"/>
        </w:rPr>
      </w:pPr>
      <w:proofErr w:type="spellStart"/>
      <w:r>
        <w:rPr>
          <w:rFonts w:ascii="Times New Roman" w:eastAsia="Times New Roman" w:hAnsi="Times New Roman" w:cs="Times New Roman"/>
          <w:sz w:val="24"/>
          <w:szCs w:val="24"/>
          <w:highlight w:val="white"/>
        </w:rPr>
        <w:t>Arenson</w:t>
      </w:r>
      <w:proofErr w:type="spellEnd"/>
      <w:r>
        <w:rPr>
          <w:rFonts w:ascii="Times New Roman" w:eastAsia="Times New Roman" w:hAnsi="Times New Roman" w:cs="Times New Roman"/>
          <w:sz w:val="24"/>
          <w:szCs w:val="24"/>
          <w:highlight w:val="white"/>
        </w:rPr>
        <w:t xml:space="preserve">, et al. </w:t>
      </w:r>
      <w:r>
        <w:rPr>
          <w:rFonts w:ascii="Times New Roman" w:eastAsia="Times New Roman" w:hAnsi="Times New Roman" w:cs="Times New Roman"/>
          <w:sz w:val="24"/>
          <w:szCs w:val="24"/>
          <w:highlight w:val="white"/>
        </w:rPr>
        <w:t xml:space="preserve">(August, 2020). </w:t>
      </w:r>
      <w:r>
        <w:rPr>
          <w:rFonts w:ascii="Times New Roman" w:eastAsia="Times New Roman" w:hAnsi="Times New Roman" w:cs="Times New Roman"/>
          <w:i/>
          <w:sz w:val="24"/>
          <w:szCs w:val="24"/>
          <w:highlight w:val="white"/>
        </w:rPr>
        <w:t xml:space="preserve">Patterns of Substance Dependence: An Examination of Use </w:t>
      </w:r>
    </w:p>
    <w:p w14:paraId="30201CCC" w14:textId="77777777" w:rsidR="00D90040" w:rsidRDefault="00B46279">
      <w:pPr>
        <w:widowControl w:val="0"/>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i/>
          <w:sz w:val="24"/>
          <w:szCs w:val="24"/>
          <w:highlight w:val="white"/>
        </w:rPr>
        <w:t>Within a Residential Treatment Facility.</w:t>
      </w:r>
      <w:r>
        <w:rPr>
          <w:rFonts w:ascii="Times New Roman" w:eastAsia="Times New Roman" w:hAnsi="Times New Roman" w:cs="Times New Roman"/>
          <w:sz w:val="24"/>
          <w:szCs w:val="24"/>
          <w:highlight w:val="white"/>
        </w:rPr>
        <w:t xml:space="preserve"> APA Annual Convention, Washington, D.C.</w:t>
      </w:r>
    </w:p>
    <w:p w14:paraId="5AFD97F2" w14:textId="77777777" w:rsidR="00D90040" w:rsidRDefault="00B46279">
      <w:pPr>
        <w:widowControl w:val="0"/>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Beck, J., </w:t>
      </w:r>
      <w:proofErr w:type="spellStart"/>
      <w:r>
        <w:rPr>
          <w:rFonts w:ascii="Times New Roman" w:eastAsia="Times New Roman" w:hAnsi="Times New Roman" w:cs="Times New Roman"/>
          <w:sz w:val="24"/>
          <w:szCs w:val="24"/>
        </w:rPr>
        <w:t>Shipherd</w:t>
      </w:r>
      <w:proofErr w:type="spellEnd"/>
      <w:r>
        <w:rPr>
          <w:rFonts w:ascii="Times New Roman" w:eastAsia="Times New Roman" w:hAnsi="Times New Roman" w:cs="Times New Roman"/>
          <w:sz w:val="24"/>
          <w:szCs w:val="24"/>
        </w:rPr>
        <w:t xml:space="preserve">, J. C., &amp; </w:t>
      </w:r>
      <w:proofErr w:type="spellStart"/>
      <w:r>
        <w:rPr>
          <w:rFonts w:ascii="Times New Roman" w:eastAsia="Times New Roman" w:hAnsi="Times New Roman" w:cs="Times New Roman"/>
          <w:sz w:val="24"/>
          <w:szCs w:val="24"/>
        </w:rPr>
        <w:t>Zebb</w:t>
      </w:r>
      <w:proofErr w:type="spellEnd"/>
      <w:r>
        <w:rPr>
          <w:rFonts w:ascii="Times New Roman" w:eastAsia="Times New Roman" w:hAnsi="Times New Roman" w:cs="Times New Roman"/>
          <w:sz w:val="24"/>
          <w:szCs w:val="24"/>
        </w:rPr>
        <w:t xml:space="preserve">, B. J. (1996). Fearful responding to repeated CO2 inhalation: A </w:t>
      </w:r>
    </w:p>
    <w:p w14:paraId="4DBB16F3" w14:textId="77777777" w:rsidR="00D90040" w:rsidRDefault="00B46279">
      <w:pPr>
        <w:widowControl w:val="0"/>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preliminary investi</w:t>
      </w:r>
      <w:r>
        <w:rPr>
          <w:rFonts w:ascii="Times New Roman" w:eastAsia="Times New Roman" w:hAnsi="Times New Roman" w:cs="Times New Roman"/>
          <w:sz w:val="24"/>
          <w:szCs w:val="24"/>
        </w:rPr>
        <w:t xml:space="preserve">gation. </w:t>
      </w:r>
      <w:proofErr w:type="spellStart"/>
      <w:r>
        <w:rPr>
          <w:rFonts w:ascii="Times New Roman" w:eastAsia="Times New Roman" w:hAnsi="Times New Roman" w:cs="Times New Roman"/>
          <w:i/>
          <w:sz w:val="24"/>
          <w:szCs w:val="24"/>
        </w:rPr>
        <w:t>Behaviour</w:t>
      </w:r>
      <w:proofErr w:type="spellEnd"/>
      <w:r>
        <w:rPr>
          <w:rFonts w:ascii="Times New Roman" w:eastAsia="Times New Roman" w:hAnsi="Times New Roman" w:cs="Times New Roman"/>
          <w:i/>
          <w:sz w:val="24"/>
          <w:szCs w:val="24"/>
        </w:rPr>
        <w:t xml:space="preserve"> Research and Therapy</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34</w:t>
      </w:r>
      <w:r>
        <w:rPr>
          <w:rFonts w:ascii="Times New Roman" w:eastAsia="Times New Roman" w:hAnsi="Times New Roman" w:cs="Times New Roman"/>
          <w:sz w:val="24"/>
          <w:szCs w:val="24"/>
        </w:rPr>
        <w:t xml:space="preserve">(8), 609–620. </w:t>
      </w:r>
    </w:p>
    <w:p w14:paraId="1D6C41AB" w14:textId="77777777" w:rsidR="00D90040" w:rsidRDefault="00B46279">
      <w:pPr>
        <w:widowControl w:val="0"/>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https://doi.org/10.1016/0005-7967(96)00039-3 </w:t>
      </w:r>
    </w:p>
    <w:p w14:paraId="5D200B58" w14:textId="77777777" w:rsidR="00D90040" w:rsidRDefault="00B46279">
      <w:pPr>
        <w:widowControl w:val="0"/>
        <w:spacing w:line="48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Berenz</w:t>
      </w:r>
      <w:proofErr w:type="spellEnd"/>
      <w:r>
        <w:rPr>
          <w:rFonts w:ascii="Times New Roman" w:eastAsia="Times New Roman" w:hAnsi="Times New Roman" w:cs="Times New Roman"/>
          <w:sz w:val="24"/>
          <w:szCs w:val="24"/>
        </w:rPr>
        <w:t xml:space="preserve">, E. C., &amp; Coffey, S. F. (2012). Treatment of co-occurring posttraumatic stress disorder </w:t>
      </w:r>
    </w:p>
    <w:p w14:paraId="31602116" w14:textId="77777777" w:rsidR="00D90040" w:rsidRDefault="00B46279">
      <w:pPr>
        <w:widowControl w:val="0"/>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and substance use disorders. Current psychiatry reports, </w:t>
      </w:r>
      <w:r>
        <w:rPr>
          <w:rFonts w:ascii="Times New Roman" w:eastAsia="Times New Roman" w:hAnsi="Times New Roman" w:cs="Times New Roman"/>
          <w:sz w:val="24"/>
          <w:szCs w:val="24"/>
        </w:rPr>
        <w:t xml:space="preserve">14(5), 469–477. </w:t>
      </w:r>
      <w:hyperlink r:id="rId6">
        <w:r>
          <w:rPr>
            <w:rFonts w:ascii="Times New Roman" w:eastAsia="Times New Roman" w:hAnsi="Times New Roman" w:cs="Times New Roman"/>
            <w:sz w:val="24"/>
            <w:szCs w:val="24"/>
          </w:rPr>
          <w:t>https://doi.org/10.1007/s11920-012-0300-0</w:t>
        </w:r>
      </w:hyperlink>
    </w:p>
    <w:p w14:paraId="4FE214F8" w14:textId="77777777" w:rsidR="00D90040" w:rsidRDefault="00B46279">
      <w:pPr>
        <w:spacing w:line="480" w:lineRule="auto"/>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t>Berenz</w:t>
      </w:r>
      <w:proofErr w:type="spellEnd"/>
      <w:r>
        <w:rPr>
          <w:rFonts w:ascii="Times New Roman" w:eastAsia="Times New Roman" w:hAnsi="Times New Roman" w:cs="Times New Roman"/>
          <w:sz w:val="24"/>
          <w:szCs w:val="24"/>
          <w:highlight w:val="white"/>
        </w:rPr>
        <w:t xml:space="preserve">, E. C., Kevorkian, S., Chowdhury, N., Dick, D. M., </w:t>
      </w:r>
      <w:proofErr w:type="spellStart"/>
      <w:r>
        <w:rPr>
          <w:rFonts w:ascii="Times New Roman" w:eastAsia="Times New Roman" w:hAnsi="Times New Roman" w:cs="Times New Roman"/>
          <w:sz w:val="24"/>
          <w:szCs w:val="24"/>
          <w:highlight w:val="white"/>
        </w:rPr>
        <w:t>Kendler</w:t>
      </w:r>
      <w:proofErr w:type="spellEnd"/>
      <w:r>
        <w:rPr>
          <w:rFonts w:ascii="Times New Roman" w:eastAsia="Times New Roman" w:hAnsi="Times New Roman" w:cs="Times New Roman"/>
          <w:sz w:val="24"/>
          <w:szCs w:val="24"/>
          <w:highlight w:val="white"/>
        </w:rPr>
        <w:t xml:space="preserve">, K. S., &amp; </w:t>
      </w:r>
      <w:proofErr w:type="spellStart"/>
      <w:r>
        <w:rPr>
          <w:rFonts w:ascii="Times New Roman" w:eastAsia="Times New Roman" w:hAnsi="Times New Roman" w:cs="Times New Roman"/>
          <w:sz w:val="24"/>
          <w:szCs w:val="24"/>
          <w:highlight w:val="white"/>
        </w:rPr>
        <w:t>Amstadter</w:t>
      </w:r>
      <w:proofErr w:type="spellEnd"/>
      <w:r>
        <w:rPr>
          <w:rFonts w:ascii="Times New Roman" w:eastAsia="Times New Roman" w:hAnsi="Times New Roman" w:cs="Times New Roman"/>
          <w:sz w:val="24"/>
          <w:szCs w:val="24"/>
          <w:highlight w:val="white"/>
        </w:rPr>
        <w:t xml:space="preserve">, A. B. </w:t>
      </w:r>
    </w:p>
    <w:p w14:paraId="2F4B4EFA" w14:textId="77777777" w:rsidR="00D90040" w:rsidRDefault="00B46279">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(2016). Posttraumatic stress disorder sympt</w:t>
      </w:r>
      <w:r>
        <w:rPr>
          <w:rFonts w:ascii="Times New Roman" w:eastAsia="Times New Roman" w:hAnsi="Times New Roman" w:cs="Times New Roman"/>
          <w:sz w:val="24"/>
          <w:szCs w:val="24"/>
          <w:highlight w:val="white"/>
        </w:rPr>
        <w:t xml:space="preserve">oms, anxiety sensitivity, and alcohol-use </w:t>
      </w:r>
    </w:p>
    <w:p w14:paraId="7721A156" w14:textId="77777777" w:rsidR="00D90040" w:rsidRDefault="00B46279">
      <w:pPr>
        <w:spacing w:line="480" w:lineRule="auto"/>
        <w:ind w:left="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motives in college students with a history of interpersonal trauma. Psychology of Addictive Behaviors, 30(7), 755–763. </w:t>
      </w:r>
      <w:hyperlink r:id="rId7">
        <w:r>
          <w:rPr>
            <w:rFonts w:ascii="Times New Roman" w:eastAsia="Times New Roman" w:hAnsi="Times New Roman" w:cs="Times New Roman"/>
            <w:sz w:val="24"/>
            <w:szCs w:val="24"/>
            <w:highlight w:val="white"/>
          </w:rPr>
          <w:t>https://do</w:t>
        </w:r>
        <w:r>
          <w:rPr>
            <w:rFonts w:ascii="Times New Roman" w:eastAsia="Times New Roman" w:hAnsi="Times New Roman" w:cs="Times New Roman"/>
            <w:sz w:val="24"/>
            <w:szCs w:val="24"/>
            <w:highlight w:val="white"/>
          </w:rPr>
          <w:t>i-org.proxy-um.researchport.umd.edu/10.1037/adb0000193</w:t>
        </w:r>
      </w:hyperlink>
    </w:p>
    <w:p w14:paraId="60375C3F" w14:textId="77777777" w:rsidR="00D90040" w:rsidRDefault="00B46279">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Bonn-Miller, M. O., </w:t>
      </w:r>
      <w:proofErr w:type="spellStart"/>
      <w:r>
        <w:rPr>
          <w:rFonts w:ascii="Times New Roman" w:eastAsia="Times New Roman" w:hAnsi="Times New Roman" w:cs="Times New Roman"/>
          <w:sz w:val="24"/>
          <w:szCs w:val="24"/>
          <w:highlight w:val="white"/>
        </w:rPr>
        <w:t>Zvolensky</w:t>
      </w:r>
      <w:proofErr w:type="spellEnd"/>
      <w:r>
        <w:rPr>
          <w:rFonts w:ascii="Times New Roman" w:eastAsia="Times New Roman" w:hAnsi="Times New Roman" w:cs="Times New Roman"/>
          <w:sz w:val="24"/>
          <w:szCs w:val="24"/>
          <w:highlight w:val="white"/>
        </w:rPr>
        <w:t xml:space="preserve">, M. J., &amp; Bernstein, A. (2007). Marijuana use motives: </w:t>
      </w:r>
    </w:p>
    <w:p w14:paraId="46DACE67" w14:textId="77777777" w:rsidR="00D90040" w:rsidRDefault="00B46279">
      <w:pPr>
        <w:spacing w:line="480" w:lineRule="auto"/>
        <w:ind w:left="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Concurrent relations to frequency of past 30-day use and anxiety sensitivity among young adult marijuana smokers. </w:t>
      </w:r>
      <w:r>
        <w:rPr>
          <w:rFonts w:ascii="Times New Roman" w:eastAsia="Times New Roman" w:hAnsi="Times New Roman" w:cs="Times New Roman"/>
          <w:i/>
          <w:sz w:val="24"/>
          <w:szCs w:val="24"/>
          <w:highlight w:val="white"/>
        </w:rPr>
        <w:t>A</w:t>
      </w:r>
      <w:r>
        <w:rPr>
          <w:rFonts w:ascii="Times New Roman" w:eastAsia="Times New Roman" w:hAnsi="Times New Roman" w:cs="Times New Roman"/>
          <w:i/>
          <w:sz w:val="24"/>
          <w:szCs w:val="24"/>
          <w:highlight w:val="white"/>
        </w:rPr>
        <w:t>ddictive Behaviors,</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i/>
          <w:sz w:val="24"/>
          <w:szCs w:val="24"/>
          <w:highlight w:val="white"/>
        </w:rPr>
        <w:t>32</w:t>
      </w:r>
      <w:r>
        <w:rPr>
          <w:rFonts w:ascii="Times New Roman" w:eastAsia="Times New Roman" w:hAnsi="Times New Roman" w:cs="Times New Roman"/>
          <w:sz w:val="24"/>
          <w:szCs w:val="24"/>
          <w:highlight w:val="white"/>
        </w:rPr>
        <w:t>(1), 49-62. doi:10.1016/j.addbeh.2006.03.018</w:t>
      </w:r>
    </w:p>
    <w:p w14:paraId="532D2660" w14:textId="77777777" w:rsidR="00D90040" w:rsidRDefault="00B46279">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Bonn-Miller, M. O., </w:t>
      </w:r>
      <w:proofErr w:type="spellStart"/>
      <w:r>
        <w:rPr>
          <w:rFonts w:ascii="Times New Roman" w:eastAsia="Times New Roman" w:hAnsi="Times New Roman" w:cs="Times New Roman"/>
          <w:sz w:val="24"/>
          <w:szCs w:val="24"/>
          <w:highlight w:val="white"/>
        </w:rPr>
        <w:t>Vujanovic</w:t>
      </w:r>
      <w:proofErr w:type="spellEnd"/>
      <w:r>
        <w:rPr>
          <w:rFonts w:ascii="Times New Roman" w:eastAsia="Times New Roman" w:hAnsi="Times New Roman" w:cs="Times New Roman"/>
          <w:sz w:val="24"/>
          <w:szCs w:val="24"/>
          <w:highlight w:val="white"/>
        </w:rPr>
        <w:t xml:space="preserve">, A. A., Boden, M. T., &amp; Gross, J. J. (2011). Posttraumatic stress, </w:t>
      </w:r>
    </w:p>
    <w:p w14:paraId="06260C5E" w14:textId="77777777" w:rsidR="00D90040" w:rsidRDefault="00B46279">
      <w:pPr>
        <w:spacing w:line="480" w:lineRule="auto"/>
        <w:ind w:left="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 xml:space="preserve">difficulties in emotion regulation, and coping-oriented marijuana use. Cognitive  </w:t>
      </w:r>
      <w:proofErr w:type="spellStart"/>
      <w:r>
        <w:rPr>
          <w:rFonts w:ascii="Times New Roman" w:eastAsia="Times New Roman" w:hAnsi="Times New Roman" w:cs="Times New Roman"/>
          <w:sz w:val="24"/>
          <w:szCs w:val="24"/>
          <w:highlight w:val="white"/>
        </w:rPr>
        <w:t>Behaviour</w:t>
      </w:r>
      <w:proofErr w:type="spellEnd"/>
      <w:r>
        <w:rPr>
          <w:rFonts w:ascii="Times New Roman" w:eastAsia="Times New Roman" w:hAnsi="Times New Roman" w:cs="Times New Roman"/>
          <w:sz w:val="24"/>
          <w:szCs w:val="24"/>
          <w:highlight w:val="white"/>
        </w:rPr>
        <w:t xml:space="preserve"> Therapy, 40(1), 34–44. https://doi-org.proxy-um.researchport.umd.edu/10.1080/16506073.2010.525253</w:t>
      </w:r>
    </w:p>
    <w:p w14:paraId="7CB51D4E" w14:textId="77777777" w:rsidR="00D90040" w:rsidRDefault="00B46279">
      <w:pPr>
        <w:spacing w:line="480" w:lineRule="auto"/>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t>Brodnik</w:t>
      </w:r>
      <w:proofErr w:type="spellEnd"/>
      <w:r>
        <w:rPr>
          <w:rFonts w:ascii="Times New Roman" w:eastAsia="Times New Roman" w:hAnsi="Times New Roman" w:cs="Times New Roman"/>
          <w:sz w:val="24"/>
          <w:szCs w:val="24"/>
          <w:highlight w:val="white"/>
        </w:rPr>
        <w:t xml:space="preserve">, Z. D., Black, E. M., Clark, M. J., </w:t>
      </w:r>
      <w:proofErr w:type="spellStart"/>
      <w:r>
        <w:rPr>
          <w:rFonts w:ascii="Times New Roman" w:eastAsia="Times New Roman" w:hAnsi="Times New Roman" w:cs="Times New Roman"/>
          <w:sz w:val="24"/>
          <w:szCs w:val="24"/>
          <w:highlight w:val="white"/>
        </w:rPr>
        <w:t>Kornsey</w:t>
      </w:r>
      <w:proofErr w:type="spellEnd"/>
      <w:r>
        <w:rPr>
          <w:rFonts w:ascii="Times New Roman" w:eastAsia="Times New Roman" w:hAnsi="Times New Roman" w:cs="Times New Roman"/>
          <w:sz w:val="24"/>
          <w:szCs w:val="24"/>
          <w:highlight w:val="white"/>
        </w:rPr>
        <w:t>, K. N., Snyder</w:t>
      </w:r>
      <w:r>
        <w:rPr>
          <w:rFonts w:ascii="Times New Roman" w:eastAsia="Times New Roman" w:hAnsi="Times New Roman" w:cs="Times New Roman"/>
          <w:sz w:val="24"/>
          <w:szCs w:val="24"/>
          <w:highlight w:val="white"/>
        </w:rPr>
        <w:t xml:space="preserve">, N. W., &amp; </w:t>
      </w:r>
      <w:proofErr w:type="spellStart"/>
      <w:r>
        <w:rPr>
          <w:rFonts w:ascii="Times New Roman" w:eastAsia="Times New Roman" w:hAnsi="Times New Roman" w:cs="Times New Roman"/>
          <w:sz w:val="24"/>
          <w:szCs w:val="24"/>
          <w:highlight w:val="white"/>
        </w:rPr>
        <w:t>España</w:t>
      </w:r>
      <w:proofErr w:type="spellEnd"/>
      <w:r>
        <w:rPr>
          <w:rFonts w:ascii="Times New Roman" w:eastAsia="Times New Roman" w:hAnsi="Times New Roman" w:cs="Times New Roman"/>
          <w:sz w:val="24"/>
          <w:szCs w:val="24"/>
          <w:highlight w:val="white"/>
        </w:rPr>
        <w:t xml:space="preserve">, R. A. </w:t>
      </w:r>
    </w:p>
    <w:p w14:paraId="4B322B27" w14:textId="77777777" w:rsidR="00D90040" w:rsidRDefault="00B46279">
      <w:pPr>
        <w:spacing w:line="480" w:lineRule="auto"/>
        <w:ind w:left="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(2017). Susceptibility to traumatic stress sensitizes the dopaminergic response to cocaine and increases motivation for cocaine. Neuropharmacology, 125, 295–307. </w:t>
      </w:r>
      <w:hyperlink r:id="rId8">
        <w:r>
          <w:rPr>
            <w:rFonts w:ascii="Times New Roman" w:eastAsia="Times New Roman" w:hAnsi="Times New Roman" w:cs="Times New Roman"/>
            <w:sz w:val="24"/>
            <w:szCs w:val="24"/>
            <w:highlight w:val="white"/>
          </w:rPr>
          <w:t>https://doi-org.proxy-um.researchport.umd.edu/10.1016/j.neuropharm.2017.07.032</w:t>
        </w:r>
      </w:hyperlink>
    </w:p>
    <w:p w14:paraId="5EAE4DB5" w14:textId="77777777" w:rsidR="00D90040" w:rsidRDefault="00B46279">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Capone, C., </w:t>
      </w:r>
      <w:proofErr w:type="spellStart"/>
      <w:r>
        <w:rPr>
          <w:rFonts w:ascii="Times New Roman" w:eastAsia="Times New Roman" w:hAnsi="Times New Roman" w:cs="Times New Roman"/>
          <w:sz w:val="24"/>
          <w:szCs w:val="24"/>
          <w:highlight w:val="white"/>
        </w:rPr>
        <w:t>Presseau</w:t>
      </w:r>
      <w:proofErr w:type="spellEnd"/>
      <w:r>
        <w:rPr>
          <w:rFonts w:ascii="Times New Roman" w:eastAsia="Times New Roman" w:hAnsi="Times New Roman" w:cs="Times New Roman"/>
          <w:sz w:val="24"/>
          <w:szCs w:val="24"/>
          <w:highlight w:val="white"/>
        </w:rPr>
        <w:t>, C., Saunders, E., Eaton, E., Hamblen, J., &amp; McGovern, M. (2</w:t>
      </w:r>
      <w:r>
        <w:rPr>
          <w:rFonts w:ascii="Times New Roman" w:eastAsia="Times New Roman" w:hAnsi="Times New Roman" w:cs="Times New Roman"/>
          <w:sz w:val="24"/>
          <w:szCs w:val="24"/>
          <w:highlight w:val="white"/>
        </w:rPr>
        <w:t xml:space="preserve">018). Is </w:t>
      </w:r>
    </w:p>
    <w:p w14:paraId="5FE81116" w14:textId="77777777" w:rsidR="00D90040" w:rsidRDefault="00B46279">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integrated CBT effective in reducing PTSD symptoms and substance use in Iraq and </w:t>
      </w:r>
    </w:p>
    <w:p w14:paraId="64E46E41" w14:textId="77777777" w:rsidR="00D90040" w:rsidRDefault="00B46279">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Afghanistan veterans? Results from a randomized clinical trial. Cognitive Therapy and </w:t>
      </w:r>
    </w:p>
    <w:p w14:paraId="2A6697B8" w14:textId="77777777" w:rsidR="00D90040" w:rsidRDefault="00B46279">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Research, 42, 735–746. doi:10.1007/s10608-018-9931-8</w:t>
      </w:r>
    </w:p>
    <w:p w14:paraId="3CD73B18" w14:textId="77777777" w:rsidR="00D90040" w:rsidRDefault="00B46279">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Coffey, S. F., Saladin, </w:t>
      </w:r>
      <w:r>
        <w:rPr>
          <w:rFonts w:ascii="Times New Roman" w:eastAsia="Times New Roman" w:hAnsi="Times New Roman" w:cs="Times New Roman"/>
          <w:sz w:val="24"/>
          <w:szCs w:val="24"/>
          <w:highlight w:val="white"/>
        </w:rPr>
        <w:t xml:space="preserve">M. E., </w:t>
      </w:r>
      <w:proofErr w:type="spellStart"/>
      <w:r>
        <w:rPr>
          <w:rFonts w:ascii="Times New Roman" w:eastAsia="Times New Roman" w:hAnsi="Times New Roman" w:cs="Times New Roman"/>
          <w:sz w:val="24"/>
          <w:szCs w:val="24"/>
          <w:highlight w:val="white"/>
        </w:rPr>
        <w:t>Drobes</w:t>
      </w:r>
      <w:proofErr w:type="spellEnd"/>
      <w:r>
        <w:rPr>
          <w:rFonts w:ascii="Times New Roman" w:eastAsia="Times New Roman" w:hAnsi="Times New Roman" w:cs="Times New Roman"/>
          <w:sz w:val="24"/>
          <w:szCs w:val="24"/>
          <w:highlight w:val="white"/>
        </w:rPr>
        <w:t xml:space="preserve">, D. J., Brady, K. T., </w:t>
      </w:r>
      <w:proofErr w:type="spellStart"/>
      <w:r>
        <w:rPr>
          <w:rFonts w:ascii="Times New Roman" w:eastAsia="Times New Roman" w:hAnsi="Times New Roman" w:cs="Times New Roman"/>
          <w:sz w:val="24"/>
          <w:szCs w:val="24"/>
          <w:highlight w:val="white"/>
        </w:rPr>
        <w:t>Dansky</w:t>
      </w:r>
      <w:proofErr w:type="spellEnd"/>
      <w:r>
        <w:rPr>
          <w:rFonts w:ascii="Times New Roman" w:eastAsia="Times New Roman" w:hAnsi="Times New Roman" w:cs="Times New Roman"/>
          <w:sz w:val="24"/>
          <w:szCs w:val="24"/>
          <w:highlight w:val="white"/>
        </w:rPr>
        <w:t xml:space="preserve">, B. S., &amp; Kilpatrick, D. G. </w:t>
      </w:r>
    </w:p>
    <w:p w14:paraId="2802EBF9" w14:textId="77777777" w:rsidR="00D90040" w:rsidRDefault="00B46279">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(2002). Trauma and substance cue reactivity in individuals with comorbid </w:t>
      </w:r>
    </w:p>
    <w:p w14:paraId="13238AA6" w14:textId="77777777" w:rsidR="00D90040" w:rsidRDefault="00B46279">
      <w:pPr>
        <w:spacing w:line="480" w:lineRule="auto"/>
        <w:ind w:firstLine="720"/>
        <w:rPr>
          <w:rFonts w:ascii="Times New Roman" w:eastAsia="Times New Roman" w:hAnsi="Times New Roman" w:cs="Times New Roman"/>
          <w:i/>
          <w:sz w:val="24"/>
          <w:szCs w:val="24"/>
          <w:highlight w:val="white"/>
        </w:rPr>
      </w:pPr>
      <w:r>
        <w:rPr>
          <w:rFonts w:ascii="Times New Roman" w:eastAsia="Times New Roman" w:hAnsi="Times New Roman" w:cs="Times New Roman"/>
          <w:sz w:val="24"/>
          <w:szCs w:val="24"/>
          <w:highlight w:val="white"/>
        </w:rPr>
        <w:t xml:space="preserve">posttraumatic stress disorder and cocaine or alcohol dependence. </w:t>
      </w:r>
      <w:r>
        <w:rPr>
          <w:rFonts w:ascii="Times New Roman" w:eastAsia="Times New Roman" w:hAnsi="Times New Roman" w:cs="Times New Roman"/>
          <w:i/>
          <w:sz w:val="24"/>
          <w:szCs w:val="24"/>
          <w:highlight w:val="white"/>
        </w:rPr>
        <w:t xml:space="preserve">Drug and </w:t>
      </w:r>
    </w:p>
    <w:p w14:paraId="558AB7F4" w14:textId="77777777" w:rsidR="00D90040" w:rsidRDefault="00B46279">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i/>
          <w:sz w:val="24"/>
          <w:szCs w:val="24"/>
          <w:highlight w:val="white"/>
        </w:rPr>
        <w:t>alcohol dependence</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i/>
          <w:sz w:val="24"/>
          <w:szCs w:val="24"/>
          <w:highlight w:val="white"/>
        </w:rPr>
        <w:t>65</w:t>
      </w:r>
      <w:r>
        <w:rPr>
          <w:rFonts w:ascii="Times New Roman" w:eastAsia="Times New Roman" w:hAnsi="Times New Roman" w:cs="Times New Roman"/>
          <w:sz w:val="24"/>
          <w:szCs w:val="24"/>
          <w:highlight w:val="white"/>
        </w:rPr>
        <w:t>(2), 115–127.</w:t>
      </w:r>
      <w:r>
        <w:rPr>
          <w:rFonts w:ascii="Times New Roman" w:eastAsia="Times New Roman" w:hAnsi="Times New Roman" w:cs="Times New Roman"/>
          <w:sz w:val="24"/>
          <w:szCs w:val="24"/>
          <w:highlight w:val="white"/>
        </w:rPr>
        <w:t xml:space="preserve"> </w:t>
      </w:r>
    </w:p>
    <w:p w14:paraId="45BFE794" w14:textId="77777777" w:rsidR="00D90040" w:rsidRDefault="00B46279">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https://doi.org/10.1016/s0376-8716(01)00157-0</w:t>
      </w:r>
    </w:p>
    <w:p w14:paraId="6E23EDBB" w14:textId="77777777" w:rsidR="00D90040" w:rsidRDefault="00B46279">
      <w:pPr>
        <w:spacing w:line="480" w:lineRule="auto"/>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t>Feldner</w:t>
      </w:r>
      <w:proofErr w:type="spellEnd"/>
      <w:r>
        <w:rPr>
          <w:rFonts w:ascii="Times New Roman" w:eastAsia="Times New Roman" w:hAnsi="Times New Roman" w:cs="Times New Roman"/>
          <w:sz w:val="24"/>
          <w:szCs w:val="24"/>
          <w:highlight w:val="white"/>
        </w:rPr>
        <w:t xml:space="preserve">, M. T., </w:t>
      </w:r>
      <w:proofErr w:type="spellStart"/>
      <w:r>
        <w:rPr>
          <w:rFonts w:ascii="Times New Roman" w:eastAsia="Times New Roman" w:hAnsi="Times New Roman" w:cs="Times New Roman"/>
          <w:sz w:val="24"/>
          <w:szCs w:val="24"/>
          <w:highlight w:val="white"/>
        </w:rPr>
        <w:t>Zvolensky</w:t>
      </w:r>
      <w:proofErr w:type="spellEnd"/>
      <w:r>
        <w:rPr>
          <w:rFonts w:ascii="Times New Roman" w:eastAsia="Times New Roman" w:hAnsi="Times New Roman" w:cs="Times New Roman"/>
          <w:sz w:val="24"/>
          <w:szCs w:val="24"/>
          <w:highlight w:val="white"/>
        </w:rPr>
        <w:t xml:space="preserve">, M. J., Schmidt, N. B., &amp; Smith, R. C. (2008). A prospective test of </w:t>
      </w:r>
    </w:p>
    <w:p w14:paraId="73641E62" w14:textId="77777777" w:rsidR="00D90040" w:rsidRDefault="00B46279">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anxiety sensitivity as a moderator of the relation between gender and posttraumatic </w:t>
      </w:r>
    </w:p>
    <w:p w14:paraId="62EE94C1" w14:textId="77777777" w:rsidR="00D90040" w:rsidRDefault="00B46279">
      <w:pPr>
        <w:spacing w:line="480" w:lineRule="auto"/>
        <w:ind w:left="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symptom maintenance among h</w:t>
      </w:r>
      <w:r>
        <w:rPr>
          <w:rFonts w:ascii="Times New Roman" w:eastAsia="Times New Roman" w:hAnsi="Times New Roman" w:cs="Times New Roman"/>
          <w:sz w:val="24"/>
          <w:szCs w:val="24"/>
          <w:highlight w:val="white"/>
        </w:rPr>
        <w:t xml:space="preserve">igh anxiety sensitive young adults. Depression and Anxiety, 25(3), 190–199. </w:t>
      </w:r>
      <w:hyperlink r:id="rId9">
        <w:r>
          <w:rPr>
            <w:rFonts w:ascii="Times New Roman" w:eastAsia="Times New Roman" w:hAnsi="Times New Roman" w:cs="Times New Roman"/>
            <w:color w:val="1155CC"/>
            <w:sz w:val="24"/>
            <w:szCs w:val="24"/>
            <w:highlight w:val="white"/>
            <w:u w:val="single"/>
          </w:rPr>
          <w:t>https://doi-org.proxy-um.researchport.umd.edu/10.1002/da.20281</w:t>
        </w:r>
      </w:hyperlink>
    </w:p>
    <w:p w14:paraId="75CD9364" w14:textId="77777777" w:rsidR="00D90040" w:rsidRDefault="00B46279">
      <w:pPr>
        <w:spacing w:line="480" w:lineRule="auto"/>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t>Fedroff</w:t>
      </w:r>
      <w:proofErr w:type="spellEnd"/>
      <w:r>
        <w:rPr>
          <w:rFonts w:ascii="Times New Roman" w:eastAsia="Times New Roman" w:hAnsi="Times New Roman" w:cs="Times New Roman"/>
          <w:sz w:val="24"/>
          <w:szCs w:val="24"/>
          <w:highlight w:val="white"/>
        </w:rPr>
        <w:t xml:space="preserve">, I. C., Taylor, S., </w:t>
      </w:r>
      <w:proofErr w:type="spellStart"/>
      <w:r>
        <w:rPr>
          <w:rFonts w:ascii="Times New Roman" w:eastAsia="Times New Roman" w:hAnsi="Times New Roman" w:cs="Times New Roman"/>
          <w:sz w:val="24"/>
          <w:szCs w:val="24"/>
          <w:highlight w:val="white"/>
        </w:rPr>
        <w:t>Asmunds</w:t>
      </w:r>
      <w:r>
        <w:rPr>
          <w:rFonts w:ascii="Times New Roman" w:eastAsia="Times New Roman" w:hAnsi="Times New Roman" w:cs="Times New Roman"/>
          <w:sz w:val="24"/>
          <w:szCs w:val="24"/>
          <w:highlight w:val="white"/>
        </w:rPr>
        <w:t>on</w:t>
      </w:r>
      <w:proofErr w:type="spellEnd"/>
      <w:r>
        <w:rPr>
          <w:rFonts w:ascii="Times New Roman" w:eastAsia="Times New Roman" w:hAnsi="Times New Roman" w:cs="Times New Roman"/>
          <w:sz w:val="24"/>
          <w:szCs w:val="24"/>
          <w:highlight w:val="white"/>
        </w:rPr>
        <w:t xml:space="preserve">, G. J., &amp; Koch, W. J. (2000). Cognitive Factors In </w:t>
      </w:r>
    </w:p>
    <w:p w14:paraId="6A9C5704" w14:textId="77777777" w:rsidR="00D90040" w:rsidRDefault="00B46279">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Traumatic Stress Reactions: Predicting </w:t>
      </w:r>
      <w:proofErr w:type="spellStart"/>
      <w:r>
        <w:rPr>
          <w:rFonts w:ascii="Times New Roman" w:eastAsia="Times New Roman" w:hAnsi="Times New Roman" w:cs="Times New Roman"/>
          <w:sz w:val="24"/>
          <w:szCs w:val="24"/>
          <w:highlight w:val="white"/>
        </w:rPr>
        <w:t>Ptsd</w:t>
      </w:r>
      <w:proofErr w:type="spellEnd"/>
      <w:r>
        <w:rPr>
          <w:rFonts w:ascii="Times New Roman" w:eastAsia="Times New Roman" w:hAnsi="Times New Roman" w:cs="Times New Roman"/>
          <w:sz w:val="24"/>
          <w:szCs w:val="24"/>
          <w:highlight w:val="white"/>
        </w:rPr>
        <w:t xml:space="preserve"> Symptoms From Anxiety Sensitivity And </w:t>
      </w:r>
    </w:p>
    <w:p w14:paraId="0AC31FAE" w14:textId="77777777" w:rsidR="00D90040" w:rsidRDefault="00B46279">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 xml:space="preserve">Beliefs About Harmful Events. </w:t>
      </w:r>
      <w:proofErr w:type="spellStart"/>
      <w:r>
        <w:rPr>
          <w:rFonts w:ascii="Times New Roman" w:eastAsia="Times New Roman" w:hAnsi="Times New Roman" w:cs="Times New Roman"/>
          <w:i/>
          <w:sz w:val="24"/>
          <w:szCs w:val="24"/>
          <w:highlight w:val="white"/>
        </w:rPr>
        <w:t>Behavioural</w:t>
      </w:r>
      <w:proofErr w:type="spellEnd"/>
      <w:r>
        <w:rPr>
          <w:rFonts w:ascii="Times New Roman" w:eastAsia="Times New Roman" w:hAnsi="Times New Roman" w:cs="Times New Roman"/>
          <w:i/>
          <w:sz w:val="24"/>
          <w:szCs w:val="24"/>
          <w:highlight w:val="white"/>
        </w:rPr>
        <w:t xml:space="preserve"> and Cognitive Psychotherapy,28</w:t>
      </w:r>
      <w:r>
        <w:rPr>
          <w:rFonts w:ascii="Times New Roman" w:eastAsia="Times New Roman" w:hAnsi="Times New Roman" w:cs="Times New Roman"/>
          <w:sz w:val="24"/>
          <w:szCs w:val="24"/>
          <w:highlight w:val="white"/>
        </w:rPr>
        <w:t xml:space="preserve">(1), 5-15. </w:t>
      </w:r>
    </w:p>
    <w:p w14:paraId="7AA306E9" w14:textId="77777777" w:rsidR="00D90040" w:rsidRDefault="00B46279">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doi:10.1017/s1352465800000023</w:t>
      </w:r>
    </w:p>
    <w:p w14:paraId="5B4D1B65" w14:textId="77777777" w:rsidR="00D90040" w:rsidRDefault="00B46279" w:rsidP="00245CF7">
      <w:pPr>
        <w:spacing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Deha</w:t>
      </w:r>
      <w:r>
        <w:rPr>
          <w:rFonts w:ascii="Times New Roman" w:eastAsia="Times New Roman" w:hAnsi="Times New Roman" w:cs="Times New Roman"/>
          <w:sz w:val="24"/>
          <w:szCs w:val="24"/>
        </w:rPr>
        <w:t>as</w:t>
      </w:r>
      <w:proofErr w:type="spellEnd"/>
      <w:r>
        <w:rPr>
          <w:rFonts w:ascii="Times New Roman" w:eastAsia="Times New Roman" w:hAnsi="Times New Roman" w:cs="Times New Roman"/>
          <w:sz w:val="24"/>
          <w:szCs w:val="24"/>
        </w:rPr>
        <w:t>, R. A., Calamari, J. E., Bair, J. P., &amp; Martin, E. D. (2001</w:t>
      </w:r>
      <w:r w:rsidR="00245CF7">
        <w:rPr>
          <w:rFonts w:ascii="Times New Roman" w:eastAsia="Times New Roman" w:hAnsi="Times New Roman" w:cs="Times New Roman"/>
          <w:sz w:val="24"/>
          <w:szCs w:val="24"/>
        </w:rPr>
        <w:t>). Anxiety sensitivity and drug or</w:t>
      </w:r>
      <w:r>
        <w:rPr>
          <w:rFonts w:ascii="Times New Roman" w:eastAsia="Times New Roman" w:hAnsi="Times New Roman" w:cs="Times New Roman"/>
          <w:sz w:val="24"/>
          <w:szCs w:val="24"/>
        </w:rPr>
        <w:t xml:space="preserve"> </w:t>
      </w:r>
    </w:p>
    <w:p w14:paraId="3820CA2F" w14:textId="77777777" w:rsidR="00D90040" w:rsidRDefault="00B46279" w:rsidP="00245CF7">
      <w:pPr>
        <w:spacing w:line="48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alcohol use in individuals with anxiety and substance use disorders. Addictive Behaviors, 26(6), 787–801. </w:t>
      </w:r>
      <w:proofErr w:type="spellStart"/>
      <w:r>
        <w:rPr>
          <w:rFonts w:ascii="Times New Roman" w:eastAsia="Times New Roman" w:hAnsi="Times New Roman" w:cs="Times New Roman"/>
          <w:sz w:val="24"/>
          <w:szCs w:val="24"/>
        </w:rPr>
        <w:t>doi</w:t>
      </w:r>
      <w:proofErr w:type="spellEnd"/>
      <w:r>
        <w:rPr>
          <w:rFonts w:ascii="Times New Roman" w:eastAsia="Times New Roman" w:hAnsi="Times New Roman" w:cs="Times New Roman"/>
          <w:sz w:val="24"/>
          <w:szCs w:val="24"/>
        </w:rPr>
        <w:t>: 10.1016/s0306-4603(01)00237-4</w:t>
      </w:r>
    </w:p>
    <w:p w14:paraId="5CF93468" w14:textId="77777777" w:rsidR="00D90040" w:rsidRDefault="00B46279">
      <w:pPr>
        <w:spacing w:line="48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Gillihan</w:t>
      </w:r>
      <w:proofErr w:type="spellEnd"/>
      <w:r>
        <w:rPr>
          <w:rFonts w:ascii="Times New Roman" w:eastAsia="Times New Roman" w:hAnsi="Times New Roman" w:cs="Times New Roman"/>
          <w:sz w:val="24"/>
          <w:szCs w:val="24"/>
        </w:rPr>
        <w:t xml:space="preserve">, S. J., Farris, S. G., &amp; </w:t>
      </w:r>
      <w:proofErr w:type="spellStart"/>
      <w:r>
        <w:rPr>
          <w:rFonts w:ascii="Times New Roman" w:eastAsia="Times New Roman" w:hAnsi="Times New Roman" w:cs="Times New Roman"/>
          <w:sz w:val="24"/>
          <w:szCs w:val="24"/>
        </w:rPr>
        <w:t>Foa</w:t>
      </w:r>
      <w:proofErr w:type="spellEnd"/>
      <w:r>
        <w:rPr>
          <w:rFonts w:ascii="Times New Roman" w:eastAsia="Times New Roman" w:hAnsi="Times New Roman" w:cs="Times New Roman"/>
          <w:sz w:val="24"/>
          <w:szCs w:val="24"/>
        </w:rPr>
        <w:t xml:space="preserve">, E. B. (2011). The effect of anxiety sensitivity on alcohol </w:t>
      </w:r>
    </w:p>
    <w:p w14:paraId="5F5C509F" w14:textId="77777777" w:rsidR="00D90040" w:rsidRDefault="00B46279">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consumption among individuals with comorbid alcohol dependence and posttraumatic stress disorder. Psychology of Addictive Behaviors, 25(4), 721–726. </w:t>
      </w:r>
      <w:proofErr w:type="spellStart"/>
      <w:r>
        <w:rPr>
          <w:rFonts w:ascii="Times New Roman" w:eastAsia="Times New Roman" w:hAnsi="Times New Roman" w:cs="Times New Roman"/>
          <w:sz w:val="24"/>
          <w:szCs w:val="24"/>
        </w:rPr>
        <w:t>doi</w:t>
      </w:r>
      <w:proofErr w:type="spellEnd"/>
      <w:r>
        <w:rPr>
          <w:rFonts w:ascii="Times New Roman" w:eastAsia="Times New Roman" w:hAnsi="Times New Roman" w:cs="Times New Roman"/>
          <w:sz w:val="24"/>
          <w:szCs w:val="24"/>
        </w:rPr>
        <w:t>: 10.</w:t>
      </w:r>
      <w:r>
        <w:rPr>
          <w:rFonts w:ascii="Times New Roman" w:eastAsia="Times New Roman" w:hAnsi="Times New Roman" w:cs="Times New Roman"/>
          <w:sz w:val="24"/>
          <w:szCs w:val="24"/>
        </w:rPr>
        <w:t>1037/a0023799</w:t>
      </w:r>
    </w:p>
    <w:p w14:paraId="738DD19B" w14:textId="77777777" w:rsidR="00D90040" w:rsidRDefault="00B46279">
      <w:pPr>
        <w:spacing w:line="48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Hindocha</w:t>
      </w:r>
      <w:proofErr w:type="spellEnd"/>
      <w:r>
        <w:rPr>
          <w:rFonts w:ascii="Times New Roman" w:eastAsia="Times New Roman" w:hAnsi="Times New Roman" w:cs="Times New Roman"/>
          <w:sz w:val="24"/>
          <w:szCs w:val="24"/>
        </w:rPr>
        <w:t xml:space="preserve">, C., </w:t>
      </w:r>
      <w:proofErr w:type="spellStart"/>
      <w:r>
        <w:rPr>
          <w:rFonts w:ascii="Times New Roman" w:eastAsia="Times New Roman" w:hAnsi="Times New Roman" w:cs="Times New Roman"/>
          <w:sz w:val="24"/>
          <w:szCs w:val="24"/>
        </w:rPr>
        <w:t>Cousijn</w:t>
      </w:r>
      <w:proofErr w:type="spellEnd"/>
      <w:r>
        <w:rPr>
          <w:rFonts w:ascii="Times New Roman" w:eastAsia="Times New Roman" w:hAnsi="Times New Roman" w:cs="Times New Roman"/>
          <w:sz w:val="24"/>
          <w:szCs w:val="24"/>
        </w:rPr>
        <w:t xml:space="preserve">, J., </w:t>
      </w:r>
      <w:proofErr w:type="spellStart"/>
      <w:r>
        <w:rPr>
          <w:rFonts w:ascii="Times New Roman" w:eastAsia="Times New Roman" w:hAnsi="Times New Roman" w:cs="Times New Roman"/>
          <w:sz w:val="24"/>
          <w:szCs w:val="24"/>
        </w:rPr>
        <w:t>Rall</w:t>
      </w:r>
      <w:proofErr w:type="spellEnd"/>
      <w:r>
        <w:rPr>
          <w:rFonts w:ascii="Times New Roman" w:eastAsia="Times New Roman" w:hAnsi="Times New Roman" w:cs="Times New Roman"/>
          <w:sz w:val="24"/>
          <w:szCs w:val="24"/>
        </w:rPr>
        <w:t xml:space="preserve">, M., &amp; Bloomfield, M. A. P. (2019). The Effectiveness of </w:t>
      </w:r>
    </w:p>
    <w:p w14:paraId="22AF0C17" w14:textId="77777777" w:rsidR="00D90040" w:rsidRDefault="00B46279">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Cannabinoids in the Treatment of Posttraumatic Stress Disorder (PTSD): A Systematic Review. </w:t>
      </w:r>
      <w:r>
        <w:rPr>
          <w:rFonts w:ascii="Times New Roman" w:eastAsia="Times New Roman" w:hAnsi="Times New Roman" w:cs="Times New Roman"/>
          <w:i/>
          <w:sz w:val="24"/>
          <w:szCs w:val="24"/>
        </w:rPr>
        <w:t>Journal of Dual Diagnosis</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16</w:t>
      </w:r>
      <w:r>
        <w:rPr>
          <w:rFonts w:ascii="Times New Roman" w:eastAsia="Times New Roman" w:hAnsi="Times New Roman" w:cs="Times New Roman"/>
          <w:sz w:val="24"/>
          <w:szCs w:val="24"/>
        </w:rPr>
        <w:t>(1), 120–139. https://doi.org/1</w:t>
      </w:r>
      <w:r>
        <w:rPr>
          <w:rFonts w:ascii="Times New Roman" w:eastAsia="Times New Roman" w:hAnsi="Times New Roman" w:cs="Times New Roman"/>
          <w:sz w:val="24"/>
          <w:szCs w:val="24"/>
        </w:rPr>
        <w:t xml:space="preserve">0.1080/15504263.2019.1652380 </w:t>
      </w:r>
    </w:p>
    <w:p w14:paraId="306F8DAC" w14:textId="77777777" w:rsidR="00D90040" w:rsidRDefault="00B46279">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Jacobsen, L.K., Southwick, S.M., &amp; </w:t>
      </w:r>
      <w:proofErr w:type="spellStart"/>
      <w:r>
        <w:rPr>
          <w:rFonts w:ascii="Times New Roman" w:eastAsia="Times New Roman" w:hAnsi="Times New Roman" w:cs="Times New Roman"/>
          <w:sz w:val="24"/>
          <w:szCs w:val="24"/>
        </w:rPr>
        <w:t>Kosten</w:t>
      </w:r>
      <w:proofErr w:type="spellEnd"/>
      <w:r>
        <w:rPr>
          <w:rFonts w:ascii="Times New Roman" w:eastAsia="Times New Roman" w:hAnsi="Times New Roman" w:cs="Times New Roman"/>
          <w:sz w:val="24"/>
          <w:szCs w:val="24"/>
        </w:rPr>
        <w:t xml:space="preserve">, T.R. (2001). Substance use disorders in patients </w:t>
      </w:r>
    </w:p>
    <w:p w14:paraId="429AC59E" w14:textId="77777777" w:rsidR="00D90040" w:rsidRDefault="00B4627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with posttraumatic stress disorder: A review of the literature. American Journal of </w:t>
      </w:r>
    </w:p>
    <w:p w14:paraId="469C18D6" w14:textId="77777777" w:rsidR="00D90040" w:rsidRDefault="00B4627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Psychiatry, 158, 1184–1190.</w:t>
      </w:r>
    </w:p>
    <w:p w14:paraId="6D71ACCC" w14:textId="77777777" w:rsidR="00D90040" w:rsidRDefault="00B46279">
      <w:pPr>
        <w:spacing w:line="48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Khantzian</w:t>
      </w:r>
      <w:proofErr w:type="spellEnd"/>
      <w:r>
        <w:rPr>
          <w:rFonts w:ascii="Times New Roman" w:eastAsia="Times New Roman" w:hAnsi="Times New Roman" w:cs="Times New Roman"/>
          <w:sz w:val="24"/>
          <w:szCs w:val="24"/>
        </w:rPr>
        <w:t xml:space="preserve"> E. J. (1997). The self-medication hypothesis of substance use disorders: a </w:t>
      </w:r>
    </w:p>
    <w:p w14:paraId="3CFEECE5" w14:textId="77777777" w:rsidR="00D90040" w:rsidRDefault="00B4627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reconsideration and recent applications. </w:t>
      </w:r>
      <w:r>
        <w:rPr>
          <w:rFonts w:ascii="Times New Roman" w:eastAsia="Times New Roman" w:hAnsi="Times New Roman" w:cs="Times New Roman"/>
          <w:i/>
          <w:sz w:val="24"/>
          <w:szCs w:val="24"/>
        </w:rPr>
        <w:t>Harvard review of psychiatry</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4</w:t>
      </w:r>
      <w:r>
        <w:rPr>
          <w:rFonts w:ascii="Times New Roman" w:eastAsia="Times New Roman" w:hAnsi="Times New Roman" w:cs="Times New Roman"/>
          <w:sz w:val="24"/>
          <w:szCs w:val="24"/>
        </w:rPr>
        <w:t xml:space="preserve">(5), 231–244. </w:t>
      </w:r>
    </w:p>
    <w:p w14:paraId="1AD2DE7E" w14:textId="77777777" w:rsidR="00D90040" w:rsidRDefault="00B4627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https://doi.org/10.3109/10673229709030550</w:t>
      </w:r>
    </w:p>
    <w:p w14:paraId="26AE3E53" w14:textId="77777777" w:rsidR="00D90040" w:rsidRDefault="00B46279">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Kushner, M. G., Mackenzie, T.B., </w:t>
      </w:r>
      <w:proofErr w:type="spellStart"/>
      <w:r>
        <w:rPr>
          <w:rFonts w:ascii="Times New Roman" w:eastAsia="Times New Roman" w:hAnsi="Times New Roman" w:cs="Times New Roman"/>
          <w:sz w:val="24"/>
          <w:szCs w:val="24"/>
        </w:rPr>
        <w:t>Fiszdon</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J., </w:t>
      </w:r>
      <w:proofErr w:type="spellStart"/>
      <w:r>
        <w:rPr>
          <w:rFonts w:ascii="Times New Roman" w:eastAsia="Times New Roman" w:hAnsi="Times New Roman" w:cs="Times New Roman"/>
          <w:sz w:val="24"/>
          <w:szCs w:val="24"/>
        </w:rPr>
        <w:t>Valentiner</w:t>
      </w:r>
      <w:proofErr w:type="spellEnd"/>
      <w:r>
        <w:rPr>
          <w:rFonts w:ascii="Times New Roman" w:eastAsia="Times New Roman" w:hAnsi="Times New Roman" w:cs="Times New Roman"/>
          <w:sz w:val="24"/>
          <w:szCs w:val="24"/>
        </w:rPr>
        <w:t xml:space="preserve">, D.P., </w:t>
      </w:r>
      <w:proofErr w:type="spellStart"/>
      <w:r>
        <w:rPr>
          <w:rFonts w:ascii="Times New Roman" w:eastAsia="Times New Roman" w:hAnsi="Times New Roman" w:cs="Times New Roman"/>
          <w:sz w:val="24"/>
          <w:szCs w:val="24"/>
        </w:rPr>
        <w:t>Foa</w:t>
      </w:r>
      <w:proofErr w:type="spellEnd"/>
      <w:r>
        <w:rPr>
          <w:rFonts w:ascii="Times New Roman" w:eastAsia="Times New Roman" w:hAnsi="Times New Roman" w:cs="Times New Roman"/>
          <w:sz w:val="24"/>
          <w:szCs w:val="24"/>
        </w:rPr>
        <w:t xml:space="preserve">, E.B., Anderson, N., &amp; </w:t>
      </w:r>
    </w:p>
    <w:p w14:paraId="0599B2A0" w14:textId="77777777" w:rsidR="00D90040" w:rsidRDefault="00B46279">
      <w:pPr>
        <w:spacing w:line="480" w:lineRule="auto"/>
        <w:ind w:left="72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Wangensteen</w:t>
      </w:r>
      <w:proofErr w:type="spellEnd"/>
      <w:r>
        <w:rPr>
          <w:rFonts w:ascii="Times New Roman" w:eastAsia="Times New Roman" w:hAnsi="Times New Roman" w:cs="Times New Roman"/>
          <w:sz w:val="24"/>
          <w:szCs w:val="24"/>
        </w:rPr>
        <w:t xml:space="preserve">, D. (1996). The Effects of Alcohol Consumption on Laboratory-Induced Panic and State Anxiety. </w:t>
      </w:r>
      <w:r>
        <w:rPr>
          <w:rFonts w:ascii="Times New Roman" w:eastAsia="Times New Roman" w:hAnsi="Times New Roman" w:cs="Times New Roman"/>
          <w:i/>
          <w:sz w:val="24"/>
          <w:szCs w:val="24"/>
        </w:rPr>
        <w:t>Archives of General Psychiatry</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53</w:t>
      </w:r>
      <w:r>
        <w:rPr>
          <w:rFonts w:ascii="Times New Roman" w:eastAsia="Times New Roman" w:hAnsi="Times New Roman" w:cs="Times New Roman"/>
          <w:sz w:val="24"/>
          <w:szCs w:val="24"/>
        </w:rPr>
        <w:t xml:space="preserve">(3), 264. https://doi.org/10.1001/archpsyc.1996.01830030086013 </w:t>
      </w:r>
    </w:p>
    <w:p w14:paraId="746647A3" w14:textId="77777777" w:rsidR="00245CF7" w:rsidRDefault="00B46279">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L</w:t>
      </w:r>
      <w:r>
        <w:rPr>
          <w:rFonts w:ascii="Times New Roman" w:eastAsia="Times New Roman" w:hAnsi="Times New Roman" w:cs="Times New Roman"/>
          <w:sz w:val="24"/>
          <w:szCs w:val="24"/>
          <w:highlight w:val="white"/>
        </w:rPr>
        <w:t xml:space="preserve">ang, A. J., Kennedy, C. M., &amp; Stein, M. B. (2002). Anxiety sensitivity and PTSD among </w:t>
      </w:r>
    </w:p>
    <w:p w14:paraId="12D73C2B" w14:textId="77777777" w:rsidR="00D90040" w:rsidRPr="00245CF7" w:rsidRDefault="00B46279" w:rsidP="00245CF7">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female </w:t>
      </w:r>
      <w:r>
        <w:rPr>
          <w:rFonts w:ascii="Times New Roman" w:eastAsia="Times New Roman" w:hAnsi="Times New Roman" w:cs="Times New Roman"/>
          <w:sz w:val="24"/>
          <w:szCs w:val="24"/>
          <w:highlight w:val="white"/>
        </w:rPr>
        <w:t>victims of intimate partner violence. Depression and Anxiety, 16, 77–83.</w:t>
      </w:r>
    </w:p>
    <w:p w14:paraId="662BEC26" w14:textId="77777777" w:rsidR="00D90040" w:rsidRDefault="00B46279">
      <w:pPr>
        <w:spacing w:line="48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Lechner</w:t>
      </w:r>
      <w:proofErr w:type="spellEnd"/>
      <w:r>
        <w:rPr>
          <w:rFonts w:ascii="Times New Roman" w:eastAsia="Times New Roman" w:hAnsi="Times New Roman" w:cs="Times New Roman"/>
          <w:sz w:val="24"/>
          <w:szCs w:val="24"/>
        </w:rPr>
        <w:t xml:space="preserve">, W. V., </w:t>
      </w:r>
      <w:proofErr w:type="spellStart"/>
      <w:r>
        <w:rPr>
          <w:rFonts w:ascii="Times New Roman" w:eastAsia="Times New Roman" w:hAnsi="Times New Roman" w:cs="Times New Roman"/>
          <w:sz w:val="24"/>
          <w:szCs w:val="24"/>
        </w:rPr>
        <w:t>Shadur</w:t>
      </w:r>
      <w:proofErr w:type="spellEnd"/>
      <w:r>
        <w:rPr>
          <w:rFonts w:ascii="Times New Roman" w:eastAsia="Times New Roman" w:hAnsi="Times New Roman" w:cs="Times New Roman"/>
          <w:sz w:val="24"/>
          <w:szCs w:val="24"/>
        </w:rPr>
        <w:t xml:space="preserve">, J. M., </w:t>
      </w:r>
      <w:proofErr w:type="spellStart"/>
      <w:r>
        <w:rPr>
          <w:rFonts w:ascii="Times New Roman" w:eastAsia="Times New Roman" w:hAnsi="Times New Roman" w:cs="Times New Roman"/>
          <w:sz w:val="24"/>
          <w:szCs w:val="24"/>
        </w:rPr>
        <w:t>Banducci</w:t>
      </w:r>
      <w:proofErr w:type="spellEnd"/>
      <w:r>
        <w:rPr>
          <w:rFonts w:ascii="Times New Roman" w:eastAsia="Times New Roman" w:hAnsi="Times New Roman" w:cs="Times New Roman"/>
          <w:sz w:val="24"/>
          <w:szCs w:val="24"/>
        </w:rPr>
        <w:t xml:space="preserve">, A. N., Grant, D. M., Morse, M., &amp; </w:t>
      </w:r>
      <w:proofErr w:type="spellStart"/>
      <w:r>
        <w:rPr>
          <w:rFonts w:ascii="Times New Roman" w:eastAsia="Times New Roman" w:hAnsi="Times New Roman" w:cs="Times New Roman"/>
          <w:sz w:val="24"/>
          <w:szCs w:val="24"/>
        </w:rPr>
        <w:t>Lejuez</w:t>
      </w:r>
      <w:proofErr w:type="spellEnd"/>
      <w:r>
        <w:rPr>
          <w:rFonts w:ascii="Times New Roman" w:eastAsia="Times New Roman" w:hAnsi="Times New Roman" w:cs="Times New Roman"/>
          <w:sz w:val="24"/>
          <w:szCs w:val="24"/>
        </w:rPr>
        <w:t xml:space="preserve">, C. W. </w:t>
      </w:r>
    </w:p>
    <w:p w14:paraId="3E0F664A" w14:textId="77777777" w:rsidR="00D90040" w:rsidRDefault="00B4627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(2014). The mediating role of depression in the relationship between anxiety sensitivity </w:t>
      </w:r>
    </w:p>
    <w:p w14:paraId="6FD401B7" w14:textId="77777777" w:rsidR="00D90040" w:rsidRDefault="00B4627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and alcohol dependence. Addictive Behaviors, 39(8), 1243–1248. </w:t>
      </w:r>
    </w:p>
    <w:p w14:paraId="3352CBB5" w14:textId="77777777" w:rsidR="00D90040" w:rsidRDefault="00B46279">
      <w:pPr>
        <w:spacing w:line="480" w:lineRule="auto"/>
        <w:ind w:firstLine="720"/>
        <w:rPr>
          <w:rFonts w:ascii="Times New Roman" w:eastAsia="Times New Roman" w:hAnsi="Times New Roman" w:cs="Times New Roman"/>
          <w:sz w:val="24"/>
          <w:szCs w:val="24"/>
        </w:rPr>
      </w:pPr>
      <w:hyperlink r:id="rId10">
        <w:r>
          <w:rPr>
            <w:rFonts w:ascii="Times New Roman" w:eastAsia="Times New Roman" w:hAnsi="Times New Roman" w:cs="Times New Roman"/>
            <w:sz w:val="24"/>
            <w:szCs w:val="24"/>
          </w:rPr>
          <w:t>https:/</w:t>
        </w:r>
        <w:r>
          <w:rPr>
            <w:rFonts w:ascii="Times New Roman" w:eastAsia="Times New Roman" w:hAnsi="Times New Roman" w:cs="Times New Roman"/>
            <w:sz w:val="24"/>
            <w:szCs w:val="24"/>
          </w:rPr>
          <w:t>/doi-org.proxy-um.researchport.umd.edu/10.1016/j.addbeh.2014.04.002</w:t>
        </w:r>
      </w:hyperlink>
    </w:p>
    <w:p w14:paraId="0A5DACE8" w14:textId="77777777" w:rsidR="00D90040" w:rsidRDefault="00B46279">
      <w:pPr>
        <w:spacing w:line="480" w:lineRule="auto"/>
        <w:rPr>
          <w:rFonts w:ascii="Times New Roman" w:eastAsia="Times New Roman" w:hAnsi="Times New Roman" w:cs="Times New Roman"/>
          <w:color w:val="212121"/>
          <w:sz w:val="24"/>
          <w:szCs w:val="24"/>
          <w:highlight w:val="white"/>
        </w:rPr>
      </w:pPr>
      <w:proofErr w:type="spellStart"/>
      <w:r>
        <w:rPr>
          <w:rFonts w:ascii="Times New Roman" w:eastAsia="Times New Roman" w:hAnsi="Times New Roman" w:cs="Times New Roman"/>
          <w:color w:val="212121"/>
          <w:sz w:val="24"/>
          <w:szCs w:val="24"/>
          <w:highlight w:val="white"/>
        </w:rPr>
        <w:t>Leeies</w:t>
      </w:r>
      <w:proofErr w:type="spellEnd"/>
      <w:r>
        <w:rPr>
          <w:rFonts w:ascii="Times New Roman" w:eastAsia="Times New Roman" w:hAnsi="Times New Roman" w:cs="Times New Roman"/>
          <w:color w:val="212121"/>
          <w:sz w:val="24"/>
          <w:szCs w:val="24"/>
          <w:highlight w:val="white"/>
        </w:rPr>
        <w:t xml:space="preserve">, M., </w:t>
      </w:r>
      <w:proofErr w:type="spellStart"/>
      <w:r>
        <w:rPr>
          <w:rFonts w:ascii="Times New Roman" w:eastAsia="Times New Roman" w:hAnsi="Times New Roman" w:cs="Times New Roman"/>
          <w:color w:val="212121"/>
          <w:sz w:val="24"/>
          <w:szCs w:val="24"/>
          <w:highlight w:val="white"/>
        </w:rPr>
        <w:t>Pagura</w:t>
      </w:r>
      <w:proofErr w:type="spellEnd"/>
      <w:r>
        <w:rPr>
          <w:rFonts w:ascii="Times New Roman" w:eastAsia="Times New Roman" w:hAnsi="Times New Roman" w:cs="Times New Roman"/>
          <w:color w:val="212121"/>
          <w:sz w:val="24"/>
          <w:szCs w:val="24"/>
          <w:highlight w:val="white"/>
        </w:rPr>
        <w:t xml:space="preserve">, J., </w:t>
      </w:r>
      <w:proofErr w:type="spellStart"/>
      <w:r>
        <w:rPr>
          <w:rFonts w:ascii="Times New Roman" w:eastAsia="Times New Roman" w:hAnsi="Times New Roman" w:cs="Times New Roman"/>
          <w:color w:val="212121"/>
          <w:sz w:val="24"/>
          <w:szCs w:val="24"/>
          <w:highlight w:val="white"/>
        </w:rPr>
        <w:t>Sareen</w:t>
      </w:r>
      <w:proofErr w:type="spellEnd"/>
      <w:r>
        <w:rPr>
          <w:rFonts w:ascii="Times New Roman" w:eastAsia="Times New Roman" w:hAnsi="Times New Roman" w:cs="Times New Roman"/>
          <w:color w:val="212121"/>
          <w:sz w:val="24"/>
          <w:szCs w:val="24"/>
          <w:highlight w:val="white"/>
        </w:rPr>
        <w:t xml:space="preserve">, J., &amp; Bolton, J. M. (2010). The use of alcohol and drugs to </w:t>
      </w:r>
    </w:p>
    <w:p w14:paraId="46BF0511" w14:textId="77777777" w:rsidR="00D90040" w:rsidRDefault="00B46279">
      <w:pPr>
        <w:spacing w:line="480" w:lineRule="auto"/>
        <w:ind w:firstLine="720"/>
        <w:rPr>
          <w:rFonts w:ascii="Times New Roman" w:eastAsia="Times New Roman" w:hAnsi="Times New Roman" w:cs="Times New Roman"/>
          <w:color w:val="212121"/>
          <w:sz w:val="24"/>
          <w:szCs w:val="24"/>
          <w:highlight w:val="white"/>
        </w:rPr>
      </w:pPr>
      <w:r>
        <w:rPr>
          <w:rFonts w:ascii="Times New Roman" w:eastAsia="Times New Roman" w:hAnsi="Times New Roman" w:cs="Times New Roman"/>
          <w:color w:val="212121"/>
          <w:sz w:val="24"/>
          <w:szCs w:val="24"/>
          <w:highlight w:val="white"/>
        </w:rPr>
        <w:t xml:space="preserve">self-medicate symptoms of posttraumatic stress disorder. </w:t>
      </w:r>
      <w:r>
        <w:rPr>
          <w:rFonts w:ascii="Times New Roman" w:eastAsia="Times New Roman" w:hAnsi="Times New Roman" w:cs="Times New Roman"/>
          <w:i/>
          <w:color w:val="212121"/>
          <w:sz w:val="24"/>
          <w:szCs w:val="24"/>
        </w:rPr>
        <w:t>Depression and anxiety</w:t>
      </w:r>
      <w:r>
        <w:rPr>
          <w:rFonts w:ascii="Times New Roman" w:eastAsia="Times New Roman" w:hAnsi="Times New Roman" w:cs="Times New Roman"/>
          <w:color w:val="212121"/>
          <w:sz w:val="24"/>
          <w:szCs w:val="24"/>
          <w:highlight w:val="white"/>
        </w:rPr>
        <w:t xml:space="preserve">, </w:t>
      </w:r>
    </w:p>
    <w:p w14:paraId="29322D47" w14:textId="77777777" w:rsidR="00D90040" w:rsidRDefault="00B4627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i/>
          <w:color w:val="212121"/>
          <w:sz w:val="24"/>
          <w:szCs w:val="24"/>
        </w:rPr>
        <w:t>27</w:t>
      </w:r>
      <w:r>
        <w:rPr>
          <w:rFonts w:ascii="Times New Roman" w:eastAsia="Times New Roman" w:hAnsi="Times New Roman" w:cs="Times New Roman"/>
          <w:color w:val="212121"/>
          <w:sz w:val="24"/>
          <w:szCs w:val="24"/>
          <w:highlight w:val="white"/>
        </w:rPr>
        <w:t>(8), 731–736. https://doi.org/10.1002/da.20677</w:t>
      </w:r>
    </w:p>
    <w:p w14:paraId="04FFB6F1" w14:textId="77777777" w:rsidR="00D90040" w:rsidRDefault="00B46279">
      <w:pPr>
        <w:spacing w:before="10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Marshall, G. N., Miles, J. N., &amp; Stewart, S. H. (2010). Anxiety sensitivity and PTSD symptom </w:t>
      </w:r>
    </w:p>
    <w:p w14:paraId="6119ED3A" w14:textId="77777777" w:rsidR="00D90040" w:rsidRDefault="00B46279">
      <w:pPr>
        <w:spacing w:before="100"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severity are reciprocally related: evidence from a longitudinal study of physical trauma </w:t>
      </w:r>
    </w:p>
    <w:p w14:paraId="3AAEB452" w14:textId="77777777" w:rsidR="00D90040" w:rsidRDefault="00B46279">
      <w:pPr>
        <w:spacing w:before="100"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survivors. </w:t>
      </w:r>
      <w:r>
        <w:rPr>
          <w:rFonts w:ascii="Times New Roman" w:eastAsia="Times New Roman" w:hAnsi="Times New Roman" w:cs="Times New Roman"/>
          <w:i/>
          <w:sz w:val="24"/>
          <w:szCs w:val="24"/>
        </w:rPr>
        <w:t>Journal of abn</w:t>
      </w:r>
      <w:r>
        <w:rPr>
          <w:rFonts w:ascii="Times New Roman" w:eastAsia="Times New Roman" w:hAnsi="Times New Roman" w:cs="Times New Roman"/>
          <w:i/>
          <w:sz w:val="24"/>
          <w:szCs w:val="24"/>
        </w:rPr>
        <w:t>ormal psychology</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i/>
          <w:sz w:val="24"/>
          <w:szCs w:val="24"/>
        </w:rPr>
        <w:t>119</w:t>
      </w:r>
      <w:r>
        <w:rPr>
          <w:rFonts w:ascii="Times New Roman" w:eastAsia="Times New Roman" w:hAnsi="Times New Roman" w:cs="Times New Roman"/>
          <w:sz w:val="24"/>
          <w:szCs w:val="24"/>
          <w:highlight w:val="white"/>
        </w:rPr>
        <w:t xml:space="preserve">(1), 143–150. </w:t>
      </w:r>
    </w:p>
    <w:p w14:paraId="5B4876FE" w14:textId="77777777" w:rsidR="00D90040" w:rsidRDefault="00B46279">
      <w:pPr>
        <w:spacing w:before="100" w:line="48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4"/>
          <w:szCs w:val="24"/>
          <w:highlight w:val="white"/>
        </w:rPr>
        <w:t>https://doi.org/10.1037/a0018009</w:t>
      </w:r>
    </w:p>
    <w:p w14:paraId="0609D9E0" w14:textId="77777777" w:rsidR="00D90040" w:rsidRDefault="00B46279">
      <w:pPr>
        <w:spacing w:before="10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McDevitt-Murphy, M. E., Williams, J. L., Bracken, K. L., Fields, J. A., Monahan, C. J., &amp; </w:t>
      </w:r>
    </w:p>
    <w:p w14:paraId="42F8138F" w14:textId="77777777" w:rsidR="00D90040" w:rsidRDefault="00B4627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Murphy, J. G. (2010). PTSD symptoms, hazardous drinking, and health functioning </w:t>
      </w:r>
    </w:p>
    <w:p w14:paraId="42131CBB" w14:textId="77777777" w:rsidR="00D90040" w:rsidRDefault="00B46279">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among U.S.OEF/O</w:t>
      </w:r>
      <w:r>
        <w:rPr>
          <w:rFonts w:ascii="Times New Roman" w:eastAsia="Times New Roman" w:hAnsi="Times New Roman" w:cs="Times New Roman"/>
          <w:sz w:val="24"/>
          <w:szCs w:val="24"/>
        </w:rPr>
        <w:t xml:space="preserve">IF veterans presenting to primary care. Journal of Traumatic Stress, 23, 108–111. doi:10.1002/jts.20482 </w:t>
      </w:r>
    </w:p>
    <w:p w14:paraId="72420C38" w14:textId="77777777" w:rsidR="00D90040" w:rsidRDefault="00B46279">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McHugh, R.K., Gratz, K.L., &amp; </w:t>
      </w:r>
      <w:proofErr w:type="spellStart"/>
      <w:r>
        <w:rPr>
          <w:rFonts w:ascii="Times New Roman" w:eastAsia="Times New Roman" w:hAnsi="Times New Roman" w:cs="Times New Roman"/>
          <w:sz w:val="24"/>
          <w:szCs w:val="24"/>
          <w:highlight w:val="white"/>
        </w:rPr>
        <w:t>Tull</w:t>
      </w:r>
      <w:proofErr w:type="spellEnd"/>
      <w:r>
        <w:rPr>
          <w:rFonts w:ascii="Times New Roman" w:eastAsia="Times New Roman" w:hAnsi="Times New Roman" w:cs="Times New Roman"/>
          <w:sz w:val="24"/>
          <w:szCs w:val="24"/>
          <w:highlight w:val="white"/>
        </w:rPr>
        <w:t xml:space="preserve">, M.T. (2017). The role of anxiety sensitivity in reactivity to </w:t>
      </w:r>
    </w:p>
    <w:p w14:paraId="6ADBBBD3" w14:textId="77777777" w:rsidR="00D90040" w:rsidRDefault="00B46279">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trauma cues in treatment-seeking adults with substanc</w:t>
      </w:r>
      <w:r>
        <w:rPr>
          <w:rFonts w:ascii="Times New Roman" w:eastAsia="Times New Roman" w:hAnsi="Times New Roman" w:cs="Times New Roman"/>
          <w:sz w:val="24"/>
          <w:szCs w:val="24"/>
          <w:highlight w:val="white"/>
        </w:rPr>
        <w:t xml:space="preserve">e use disorders. Comprehensive </w:t>
      </w:r>
    </w:p>
    <w:p w14:paraId="0AC174AF" w14:textId="77777777" w:rsidR="00D90040" w:rsidRDefault="00B46279">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psychiatry, 78, 107-114.</w:t>
      </w:r>
    </w:p>
    <w:p w14:paraId="3AA607C2" w14:textId="77777777" w:rsidR="00D90040" w:rsidRDefault="00B46279">
      <w:pPr>
        <w:spacing w:line="480" w:lineRule="auto"/>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t>Mclaughlin</w:t>
      </w:r>
      <w:proofErr w:type="spellEnd"/>
      <w:r>
        <w:rPr>
          <w:rFonts w:ascii="Times New Roman" w:eastAsia="Times New Roman" w:hAnsi="Times New Roman" w:cs="Times New Roman"/>
          <w:sz w:val="24"/>
          <w:szCs w:val="24"/>
          <w:highlight w:val="white"/>
        </w:rPr>
        <w:t xml:space="preserve">, K. A., &amp; </w:t>
      </w:r>
      <w:proofErr w:type="spellStart"/>
      <w:r>
        <w:rPr>
          <w:rFonts w:ascii="Times New Roman" w:eastAsia="Times New Roman" w:hAnsi="Times New Roman" w:cs="Times New Roman"/>
          <w:sz w:val="24"/>
          <w:szCs w:val="24"/>
          <w:highlight w:val="white"/>
        </w:rPr>
        <w:t>Hatzenbuehler</w:t>
      </w:r>
      <w:proofErr w:type="spellEnd"/>
      <w:r>
        <w:rPr>
          <w:rFonts w:ascii="Times New Roman" w:eastAsia="Times New Roman" w:hAnsi="Times New Roman" w:cs="Times New Roman"/>
          <w:sz w:val="24"/>
          <w:szCs w:val="24"/>
          <w:highlight w:val="white"/>
        </w:rPr>
        <w:t xml:space="preserve">, M. L. (2009). Stressful life events, anxiety sensitivity, and </w:t>
      </w:r>
    </w:p>
    <w:p w14:paraId="0E84816F" w14:textId="77777777" w:rsidR="00D90040" w:rsidRDefault="00B46279">
      <w:pPr>
        <w:spacing w:line="480" w:lineRule="auto"/>
        <w:ind w:left="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internalizing symptoms in adolescents. </w:t>
      </w:r>
      <w:r>
        <w:rPr>
          <w:rFonts w:ascii="Times New Roman" w:eastAsia="Times New Roman" w:hAnsi="Times New Roman" w:cs="Times New Roman"/>
          <w:i/>
          <w:sz w:val="24"/>
          <w:szCs w:val="24"/>
          <w:highlight w:val="white"/>
        </w:rPr>
        <w:t>Journal of Abnormal Psychology</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i/>
          <w:sz w:val="24"/>
          <w:szCs w:val="24"/>
          <w:highlight w:val="white"/>
        </w:rPr>
        <w:t>118</w:t>
      </w:r>
      <w:r>
        <w:rPr>
          <w:rFonts w:ascii="Times New Roman" w:eastAsia="Times New Roman" w:hAnsi="Times New Roman" w:cs="Times New Roman"/>
          <w:sz w:val="24"/>
          <w:szCs w:val="24"/>
          <w:highlight w:val="white"/>
        </w:rPr>
        <w:t xml:space="preserve">(3), 659–669. https://doi.org/10.1037/a0016499 </w:t>
      </w:r>
    </w:p>
    <w:p w14:paraId="0C663EA4" w14:textId="77777777" w:rsidR="00D90040" w:rsidRDefault="00B46279">
      <w:pPr>
        <w:spacing w:before="100" w:line="480" w:lineRule="auto"/>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lastRenderedPageBreak/>
        <w:t>Naifeh</w:t>
      </w:r>
      <w:proofErr w:type="spellEnd"/>
      <w:r>
        <w:rPr>
          <w:rFonts w:ascii="Times New Roman" w:eastAsia="Times New Roman" w:hAnsi="Times New Roman" w:cs="Times New Roman"/>
          <w:sz w:val="24"/>
          <w:szCs w:val="24"/>
          <w:highlight w:val="white"/>
        </w:rPr>
        <w:t xml:space="preserve">, J. A., </w:t>
      </w:r>
      <w:proofErr w:type="spellStart"/>
      <w:r>
        <w:rPr>
          <w:rFonts w:ascii="Times New Roman" w:eastAsia="Times New Roman" w:hAnsi="Times New Roman" w:cs="Times New Roman"/>
          <w:sz w:val="24"/>
          <w:szCs w:val="24"/>
          <w:highlight w:val="white"/>
        </w:rPr>
        <w:t>Tull</w:t>
      </w:r>
      <w:proofErr w:type="spellEnd"/>
      <w:r>
        <w:rPr>
          <w:rFonts w:ascii="Times New Roman" w:eastAsia="Times New Roman" w:hAnsi="Times New Roman" w:cs="Times New Roman"/>
          <w:sz w:val="24"/>
          <w:szCs w:val="24"/>
          <w:highlight w:val="white"/>
        </w:rPr>
        <w:t xml:space="preserve">, M. T., &amp; Gratz, K. L. (2010). Anxiety Sensitivity, Emotional Avoidance, and </w:t>
      </w:r>
    </w:p>
    <w:p w14:paraId="497DDFB6" w14:textId="77777777" w:rsidR="00D90040" w:rsidRDefault="00B46279">
      <w:pPr>
        <w:spacing w:before="100"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PTSD Symptom Severity Among Crack/Cocaine Dependent Patients in Residential </w:t>
      </w:r>
    </w:p>
    <w:p w14:paraId="7CFC238D" w14:textId="77777777" w:rsidR="00D90040" w:rsidRDefault="00B46279">
      <w:pPr>
        <w:spacing w:before="100"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Treatment. </w:t>
      </w:r>
      <w:r>
        <w:rPr>
          <w:rFonts w:ascii="Times New Roman" w:eastAsia="Times New Roman" w:hAnsi="Times New Roman" w:cs="Times New Roman"/>
          <w:i/>
          <w:sz w:val="24"/>
          <w:szCs w:val="24"/>
          <w:highlight w:val="white"/>
        </w:rPr>
        <w:t xml:space="preserve">Cognitive Therapy and </w:t>
      </w:r>
      <w:r>
        <w:rPr>
          <w:rFonts w:ascii="Times New Roman" w:eastAsia="Times New Roman" w:hAnsi="Times New Roman" w:cs="Times New Roman"/>
          <w:i/>
          <w:sz w:val="24"/>
          <w:szCs w:val="24"/>
          <w:highlight w:val="white"/>
        </w:rPr>
        <w:t>Research</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i/>
          <w:sz w:val="24"/>
          <w:szCs w:val="24"/>
          <w:highlight w:val="white"/>
        </w:rPr>
        <w:t>36</w:t>
      </w:r>
      <w:r>
        <w:rPr>
          <w:rFonts w:ascii="Times New Roman" w:eastAsia="Times New Roman" w:hAnsi="Times New Roman" w:cs="Times New Roman"/>
          <w:sz w:val="24"/>
          <w:szCs w:val="24"/>
          <w:highlight w:val="white"/>
        </w:rPr>
        <w:t xml:space="preserve">(3), 247–257. </w:t>
      </w:r>
    </w:p>
    <w:p w14:paraId="6FECE1A3" w14:textId="77777777" w:rsidR="00D90040" w:rsidRDefault="00B46279">
      <w:pPr>
        <w:spacing w:before="100"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https://doi.org/10.1007/s10608-010-9337-8 </w:t>
      </w:r>
    </w:p>
    <w:p w14:paraId="6D992F83" w14:textId="77777777" w:rsidR="00D90040" w:rsidRDefault="00B46279">
      <w:pPr>
        <w:spacing w:before="100" w:line="480" w:lineRule="auto"/>
        <w:rPr>
          <w:rFonts w:ascii="Times New Roman" w:eastAsia="Times New Roman" w:hAnsi="Times New Roman" w:cs="Times New Roman"/>
          <w:color w:val="303030"/>
          <w:sz w:val="24"/>
          <w:szCs w:val="24"/>
          <w:highlight w:val="white"/>
        </w:rPr>
      </w:pPr>
      <w:proofErr w:type="spellStart"/>
      <w:r>
        <w:rPr>
          <w:rFonts w:ascii="Times New Roman" w:eastAsia="Times New Roman" w:hAnsi="Times New Roman" w:cs="Times New Roman"/>
          <w:color w:val="303030"/>
          <w:sz w:val="24"/>
          <w:szCs w:val="24"/>
          <w:highlight w:val="white"/>
        </w:rPr>
        <w:t>Norr</w:t>
      </w:r>
      <w:proofErr w:type="spellEnd"/>
      <w:r>
        <w:rPr>
          <w:rFonts w:ascii="Times New Roman" w:eastAsia="Times New Roman" w:hAnsi="Times New Roman" w:cs="Times New Roman"/>
          <w:color w:val="303030"/>
          <w:sz w:val="24"/>
          <w:szCs w:val="24"/>
          <w:highlight w:val="white"/>
        </w:rPr>
        <w:t xml:space="preserve">, A. M., Katz, A. C., Nguyen, J. L., </w:t>
      </w:r>
      <w:proofErr w:type="spellStart"/>
      <w:r>
        <w:rPr>
          <w:rFonts w:ascii="Times New Roman" w:eastAsia="Times New Roman" w:hAnsi="Times New Roman" w:cs="Times New Roman"/>
          <w:color w:val="303030"/>
          <w:sz w:val="24"/>
          <w:szCs w:val="24"/>
          <w:highlight w:val="white"/>
        </w:rPr>
        <w:t>Lehavot</w:t>
      </w:r>
      <w:proofErr w:type="spellEnd"/>
      <w:r>
        <w:rPr>
          <w:rFonts w:ascii="Times New Roman" w:eastAsia="Times New Roman" w:hAnsi="Times New Roman" w:cs="Times New Roman"/>
          <w:color w:val="303030"/>
          <w:sz w:val="24"/>
          <w:szCs w:val="24"/>
          <w:highlight w:val="white"/>
        </w:rPr>
        <w:t xml:space="preserve">, K., Schmidt, N. B., &amp; </w:t>
      </w:r>
      <w:proofErr w:type="spellStart"/>
      <w:r>
        <w:rPr>
          <w:rFonts w:ascii="Times New Roman" w:eastAsia="Times New Roman" w:hAnsi="Times New Roman" w:cs="Times New Roman"/>
          <w:color w:val="303030"/>
          <w:sz w:val="24"/>
          <w:szCs w:val="24"/>
          <w:highlight w:val="white"/>
        </w:rPr>
        <w:t>Reger</w:t>
      </w:r>
      <w:proofErr w:type="spellEnd"/>
      <w:r>
        <w:rPr>
          <w:rFonts w:ascii="Times New Roman" w:eastAsia="Times New Roman" w:hAnsi="Times New Roman" w:cs="Times New Roman"/>
          <w:color w:val="303030"/>
          <w:sz w:val="24"/>
          <w:szCs w:val="24"/>
          <w:highlight w:val="white"/>
        </w:rPr>
        <w:t xml:space="preserve">, G. M. (2020). </w:t>
      </w:r>
    </w:p>
    <w:p w14:paraId="28C093D3" w14:textId="77777777" w:rsidR="00D90040" w:rsidRDefault="00B46279">
      <w:pPr>
        <w:spacing w:before="100" w:line="480" w:lineRule="auto"/>
        <w:ind w:firstLine="720"/>
        <w:rPr>
          <w:rFonts w:ascii="Times New Roman" w:eastAsia="Times New Roman" w:hAnsi="Times New Roman" w:cs="Times New Roman"/>
          <w:color w:val="303030"/>
          <w:sz w:val="24"/>
          <w:szCs w:val="24"/>
          <w:highlight w:val="white"/>
        </w:rPr>
      </w:pPr>
      <w:r>
        <w:rPr>
          <w:rFonts w:ascii="Times New Roman" w:eastAsia="Times New Roman" w:hAnsi="Times New Roman" w:cs="Times New Roman"/>
          <w:color w:val="303030"/>
          <w:sz w:val="24"/>
          <w:szCs w:val="24"/>
          <w:highlight w:val="white"/>
        </w:rPr>
        <w:t xml:space="preserve">Pilot trial of a </w:t>
      </w:r>
      <w:proofErr w:type="spellStart"/>
      <w:r>
        <w:rPr>
          <w:rFonts w:ascii="Times New Roman" w:eastAsia="Times New Roman" w:hAnsi="Times New Roman" w:cs="Times New Roman"/>
          <w:color w:val="303030"/>
          <w:sz w:val="24"/>
          <w:szCs w:val="24"/>
          <w:highlight w:val="white"/>
        </w:rPr>
        <w:t>transdiagnostic</w:t>
      </w:r>
      <w:proofErr w:type="spellEnd"/>
      <w:r>
        <w:rPr>
          <w:rFonts w:ascii="Times New Roman" w:eastAsia="Times New Roman" w:hAnsi="Times New Roman" w:cs="Times New Roman"/>
          <w:color w:val="303030"/>
          <w:sz w:val="24"/>
          <w:szCs w:val="24"/>
          <w:highlight w:val="white"/>
        </w:rPr>
        <w:t xml:space="preserve"> computerized anxiety sensitivity intervention among VA </w:t>
      </w:r>
    </w:p>
    <w:p w14:paraId="7EF3DA65" w14:textId="77777777" w:rsidR="00D90040" w:rsidRDefault="00B46279">
      <w:pPr>
        <w:spacing w:before="100" w:line="480" w:lineRule="auto"/>
        <w:ind w:firstLine="720"/>
        <w:rPr>
          <w:rFonts w:ascii="Times New Roman" w:eastAsia="Times New Roman" w:hAnsi="Times New Roman" w:cs="Times New Roman"/>
          <w:color w:val="303030"/>
          <w:sz w:val="24"/>
          <w:szCs w:val="24"/>
          <w:highlight w:val="white"/>
        </w:rPr>
      </w:pPr>
      <w:r>
        <w:rPr>
          <w:rFonts w:ascii="Times New Roman" w:eastAsia="Times New Roman" w:hAnsi="Times New Roman" w:cs="Times New Roman"/>
          <w:color w:val="303030"/>
          <w:sz w:val="24"/>
          <w:szCs w:val="24"/>
          <w:highlight w:val="white"/>
        </w:rPr>
        <w:t>pri</w:t>
      </w:r>
      <w:r>
        <w:rPr>
          <w:rFonts w:ascii="Times New Roman" w:eastAsia="Times New Roman" w:hAnsi="Times New Roman" w:cs="Times New Roman"/>
          <w:color w:val="303030"/>
          <w:sz w:val="24"/>
          <w:szCs w:val="24"/>
          <w:highlight w:val="white"/>
        </w:rPr>
        <w:t xml:space="preserve">mary care patients. </w:t>
      </w:r>
      <w:r>
        <w:rPr>
          <w:rFonts w:ascii="Times New Roman" w:eastAsia="Times New Roman" w:hAnsi="Times New Roman" w:cs="Times New Roman"/>
          <w:i/>
          <w:color w:val="303030"/>
          <w:sz w:val="24"/>
          <w:szCs w:val="24"/>
          <w:highlight w:val="white"/>
        </w:rPr>
        <w:t>Psychiatry research</w:t>
      </w:r>
      <w:r>
        <w:rPr>
          <w:rFonts w:ascii="Times New Roman" w:eastAsia="Times New Roman" w:hAnsi="Times New Roman" w:cs="Times New Roman"/>
          <w:color w:val="303030"/>
          <w:sz w:val="24"/>
          <w:szCs w:val="24"/>
          <w:highlight w:val="white"/>
        </w:rPr>
        <w:t xml:space="preserve">, </w:t>
      </w:r>
      <w:r>
        <w:rPr>
          <w:rFonts w:ascii="Times New Roman" w:eastAsia="Times New Roman" w:hAnsi="Times New Roman" w:cs="Times New Roman"/>
          <w:i/>
          <w:color w:val="303030"/>
          <w:sz w:val="24"/>
          <w:szCs w:val="24"/>
          <w:highlight w:val="white"/>
        </w:rPr>
        <w:t>293</w:t>
      </w:r>
      <w:r>
        <w:rPr>
          <w:rFonts w:ascii="Times New Roman" w:eastAsia="Times New Roman" w:hAnsi="Times New Roman" w:cs="Times New Roman"/>
          <w:color w:val="303030"/>
          <w:sz w:val="24"/>
          <w:szCs w:val="24"/>
          <w:highlight w:val="white"/>
        </w:rPr>
        <w:t xml:space="preserve">, 113394. Advance online publication. </w:t>
      </w:r>
    </w:p>
    <w:p w14:paraId="6C0E3F3D" w14:textId="77777777" w:rsidR="00D90040" w:rsidRDefault="00B46279">
      <w:pPr>
        <w:spacing w:before="100"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color w:val="303030"/>
          <w:sz w:val="24"/>
          <w:szCs w:val="24"/>
          <w:highlight w:val="white"/>
        </w:rPr>
        <w:t>https://doi.org/10.1016/j.psychres.2020.113394</w:t>
      </w:r>
    </w:p>
    <w:p w14:paraId="799CEC63" w14:textId="77777777" w:rsidR="00D90040" w:rsidRDefault="00B46279">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Novak, A., Burgess, E. S., Clark, M., </w:t>
      </w:r>
      <w:proofErr w:type="spellStart"/>
      <w:r>
        <w:rPr>
          <w:rFonts w:ascii="Times New Roman" w:eastAsia="Times New Roman" w:hAnsi="Times New Roman" w:cs="Times New Roman"/>
          <w:sz w:val="24"/>
          <w:szCs w:val="24"/>
        </w:rPr>
        <w:t>Zvolensky</w:t>
      </w:r>
      <w:proofErr w:type="spellEnd"/>
      <w:r>
        <w:rPr>
          <w:rFonts w:ascii="Times New Roman" w:eastAsia="Times New Roman" w:hAnsi="Times New Roman" w:cs="Times New Roman"/>
          <w:sz w:val="24"/>
          <w:szCs w:val="24"/>
        </w:rPr>
        <w:t xml:space="preserve">, M. J., &amp; Brown, R. A. (2003). Anxiety </w:t>
      </w:r>
    </w:p>
    <w:p w14:paraId="14257B18" w14:textId="77777777" w:rsidR="00D90040" w:rsidRDefault="00B4627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sensitivity, self-reported motives for</w:t>
      </w:r>
      <w:r>
        <w:rPr>
          <w:rFonts w:ascii="Times New Roman" w:eastAsia="Times New Roman" w:hAnsi="Times New Roman" w:cs="Times New Roman"/>
          <w:sz w:val="24"/>
          <w:szCs w:val="24"/>
        </w:rPr>
        <w:t xml:space="preserve"> alcohol and nicotine use and level of consumption. </w:t>
      </w:r>
    </w:p>
    <w:p w14:paraId="7CEFF532" w14:textId="77777777" w:rsidR="00D90040" w:rsidRDefault="00B4627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Journal of Anxiety Disorders, 17(2), 165–180.</w:t>
      </w:r>
    </w:p>
    <w:p w14:paraId="1C9E892F" w14:textId="77777777" w:rsidR="00D90040" w:rsidRDefault="00B46279">
      <w:pPr>
        <w:spacing w:line="480" w:lineRule="auto"/>
        <w:ind w:firstLine="720"/>
        <w:rPr>
          <w:rFonts w:ascii="Times New Roman" w:eastAsia="Times New Roman" w:hAnsi="Times New Roman" w:cs="Times New Roman"/>
          <w:sz w:val="24"/>
          <w:szCs w:val="24"/>
        </w:rPr>
      </w:pPr>
      <w:hyperlink r:id="rId11">
        <w:r>
          <w:rPr>
            <w:rFonts w:ascii="Times New Roman" w:eastAsia="Times New Roman" w:hAnsi="Times New Roman" w:cs="Times New Roman"/>
            <w:sz w:val="24"/>
            <w:szCs w:val="24"/>
          </w:rPr>
          <w:t>https://doi-org.proxy-um.researchport.umd.edu/10.1016/S0887-61</w:t>
        </w:r>
        <w:r>
          <w:rPr>
            <w:rFonts w:ascii="Times New Roman" w:eastAsia="Times New Roman" w:hAnsi="Times New Roman" w:cs="Times New Roman"/>
            <w:sz w:val="24"/>
            <w:szCs w:val="24"/>
          </w:rPr>
          <w:t>85(02)00175-5</w:t>
        </w:r>
      </w:hyperlink>
    </w:p>
    <w:p w14:paraId="09019A08" w14:textId="77777777" w:rsidR="00D90040" w:rsidRDefault="00B46279">
      <w:pPr>
        <w:spacing w:line="48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Pietrzak</w:t>
      </w:r>
      <w:proofErr w:type="spellEnd"/>
      <w:r>
        <w:rPr>
          <w:rFonts w:ascii="Times New Roman" w:eastAsia="Times New Roman" w:hAnsi="Times New Roman" w:cs="Times New Roman"/>
          <w:sz w:val="24"/>
          <w:szCs w:val="24"/>
        </w:rPr>
        <w:t xml:space="preserve">, R. H., Goldstein, R. B., Southwick, S. M., &amp; Grant, B. F. (2011). Prevalence and Axis I </w:t>
      </w:r>
    </w:p>
    <w:p w14:paraId="1D7EE319" w14:textId="77777777" w:rsidR="00D90040" w:rsidRDefault="00B46279">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comorbidity of full and partial posttraumatic stress disorder in the United States: Results from Wave 2 of the National Epidemiologic Survey on Alcohol and Related Conditions. Journal of Anxiety Disorders, 25, 456–465. doi:10.1016/j.janxdis.2010.11.010</w:t>
      </w:r>
    </w:p>
    <w:p w14:paraId="27DB06C8" w14:textId="77777777" w:rsidR="00D90040" w:rsidRDefault="00B46279">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Rai</w:t>
      </w:r>
      <w:r>
        <w:rPr>
          <w:rFonts w:ascii="Times New Roman" w:eastAsia="Times New Roman" w:hAnsi="Times New Roman" w:cs="Times New Roman"/>
          <w:sz w:val="24"/>
          <w:szCs w:val="24"/>
        </w:rPr>
        <w:t xml:space="preserve">nes, A. M., Allan, N. P., </w:t>
      </w:r>
      <w:proofErr w:type="spellStart"/>
      <w:r>
        <w:rPr>
          <w:rFonts w:ascii="Times New Roman" w:eastAsia="Times New Roman" w:hAnsi="Times New Roman" w:cs="Times New Roman"/>
          <w:sz w:val="24"/>
          <w:szCs w:val="24"/>
        </w:rPr>
        <w:t>Mcgrew</w:t>
      </w:r>
      <w:proofErr w:type="spellEnd"/>
      <w:r>
        <w:rPr>
          <w:rFonts w:ascii="Times New Roman" w:eastAsia="Times New Roman" w:hAnsi="Times New Roman" w:cs="Times New Roman"/>
          <w:sz w:val="24"/>
          <w:szCs w:val="24"/>
        </w:rPr>
        <w:t xml:space="preserve">, S. J., Gooch, C. V., Wyatt, M., Franklin, C. L., &amp; Schmidt, </w:t>
      </w:r>
    </w:p>
    <w:p w14:paraId="189FF230" w14:textId="77777777" w:rsidR="00D90040" w:rsidRDefault="00B4627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 B. (2020). A computerized anxiety sensitivity intervention for opioid use disorders: A </w:t>
      </w:r>
    </w:p>
    <w:p w14:paraId="4B1AD282" w14:textId="77777777" w:rsidR="00D90040" w:rsidRDefault="00B46279">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pilot investigation among veterans. </w:t>
      </w:r>
      <w:r>
        <w:rPr>
          <w:rFonts w:ascii="Times New Roman" w:eastAsia="Times New Roman" w:hAnsi="Times New Roman" w:cs="Times New Roman"/>
          <w:i/>
          <w:sz w:val="24"/>
          <w:szCs w:val="24"/>
        </w:rPr>
        <w:t>Addictive Behaviors,104</w:t>
      </w:r>
      <w:r>
        <w:rPr>
          <w:rFonts w:ascii="Times New Roman" w:eastAsia="Times New Roman" w:hAnsi="Times New Roman" w:cs="Times New Roman"/>
          <w:sz w:val="24"/>
          <w:szCs w:val="24"/>
        </w:rPr>
        <w:t xml:space="preserve">, 106285. </w:t>
      </w:r>
    </w:p>
    <w:p w14:paraId="5F0AB278" w14:textId="77777777" w:rsidR="00D90040" w:rsidRDefault="00B4627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doi:10.1016/j.addbeh.2019.10628</w:t>
      </w:r>
    </w:p>
    <w:p w14:paraId="386D9F5A" w14:textId="77777777" w:rsidR="00D90040" w:rsidRDefault="00B46279">
      <w:pPr>
        <w:spacing w:line="48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Raypole</w:t>
      </w:r>
      <w:proofErr w:type="spellEnd"/>
      <w:r>
        <w:rPr>
          <w:rFonts w:ascii="Times New Roman" w:eastAsia="Times New Roman" w:hAnsi="Times New Roman" w:cs="Times New Roman"/>
          <w:sz w:val="24"/>
          <w:szCs w:val="24"/>
        </w:rPr>
        <w:t xml:space="preserve">, C. (2019, December 16). </w:t>
      </w:r>
      <w:r>
        <w:rPr>
          <w:rFonts w:ascii="Times New Roman" w:eastAsia="Times New Roman" w:hAnsi="Times New Roman" w:cs="Times New Roman"/>
          <w:i/>
          <w:sz w:val="24"/>
          <w:szCs w:val="24"/>
        </w:rPr>
        <w:t>Marijuana and Anxiety: A Good or Bad Match?</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Healthline</w:t>
      </w:r>
      <w:proofErr w:type="spellEnd"/>
      <w:r>
        <w:rPr>
          <w:rFonts w:ascii="Times New Roman" w:eastAsia="Times New Roman" w:hAnsi="Times New Roman" w:cs="Times New Roman"/>
          <w:sz w:val="24"/>
          <w:szCs w:val="24"/>
        </w:rPr>
        <w:t xml:space="preserve">. </w:t>
      </w:r>
    </w:p>
    <w:p w14:paraId="60871FE7" w14:textId="77777777" w:rsidR="00D90040" w:rsidRDefault="00B4627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https://www.healthline.com/health/marijuana-and-anxiety. </w:t>
      </w:r>
    </w:p>
    <w:p w14:paraId="3ADFC373" w14:textId="77777777" w:rsidR="00D90040" w:rsidRDefault="00B46279">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Reiss, S., Peterson, R. A., </w:t>
      </w:r>
      <w:proofErr w:type="spellStart"/>
      <w:r>
        <w:rPr>
          <w:rFonts w:ascii="Times New Roman" w:eastAsia="Times New Roman" w:hAnsi="Times New Roman" w:cs="Times New Roman"/>
          <w:sz w:val="24"/>
          <w:szCs w:val="24"/>
        </w:rPr>
        <w:t>Gursky</w:t>
      </w:r>
      <w:proofErr w:type="spellEnd"/>
      <w:r>
        <w:rPr>
          <w:rFonts w:ascii="Times New Roman" w:eastAsia="Times New Roman" w:hAnsi="Times New Roman" w:cs="Times New Roman"/>
          <w:sz w:val="24"/>
          <w:szCs w:val="24"/>
        </w:rPr>
        <w:t xml:space="preserve">, D. M., &amp; </w:t>
      </w:r>
      <w:proofErr w:type="spellStart"/>
      <w:r>
        <w:rPr>
          <w:rFonts w:ascii="Times New Roman" w:eastAsia="Times New Roman" w:hAnsi="Times New Roman" w:cs="Times New Roman"/>
          <w:sz w:val="24"/>
          <w:szCs w:val="24"/>
        </w:rPr>
        <w:t>Mcnally</w:t>
      </w:r>
      <w:proofErr w:type="spellEnd"/>
      <w:r>
        <w:rPr>
          <w:rFonts w:ascii="Times New Roman" w:eastAsia="Times New Roman" w:hAnsi="Times New Roman" w:cs="Times New Roman"/>
          <w:sz w:val="24"/>
          <w:szCs w:val="24"/>
        </w:rPr>
        <w:t xml:space="preserve">, R. J. (1986). Anxiety </w:t>
      </w:r>
      <w:r>
        <w:rPr>
          <w:rFonts w:ascii="Times New Roman" w:eastAsia="Times New Roman" w:hAnsi="Times New Roman" w:cs="Times New Roman"/>
          <w:sz w:val="24"/>
          <w:szCs w:val="24"/>
        </w:rPr>
        <w:t xml:space="preserve">sensitivity, anxiety  </w:t>
      </w:r>
    </w:p>
    <w:p w14:paraId="3559E726" w14:textId="77777777" w:rsidR="00D90040" w:rsidRDefault="00B4627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frequency and the prediction of fearfulness. </w:t>
      </w:r>
      <w:proofErr w:type="spellStart"/>
      <w:r>
        <w:rPr>
          <w:rFonts w:ascii="Times New Roman" w:eastAsia="Times New Roman" w:hAnsi="Times New Roman" w:cs="Times New Roman"/>
          <w:i/>
          <w:sz w:val="24"/>
          <w:szCs w:val="24"/>
        </w:rPr>
        <w:t>Behaviour</w:t>
      </w:r>
      <w:proofErr w:type="spellEnd"/>
      <w:r>
        <w:rPr>
          <w:rFonts w:ascii="Times New Roman" w:eastAsia="Times New Roman" w:hAnsi="Times New Roman" w:cs="Times New Roman"/>
          <w:i/>
          <w:sz w:val="24"/>
          <w:szCs w:val="24"/>
        </w:rPr>
        <w:t xml:space="preserve"> Research and Therapy</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24</w:t>
      </w:r>
      <w:r>
        <w:rPr>
          <w:rFonts w:ascii="Times New Roman" w:eastAsia="Times New Roman" w:hAnsi="Times New Roman" w:cs="Times New Roman"/>
          <w:sz w:val="24"/>
          <w:szCs w:val="24"/>
        </w:rPr>
        <w:t xml:space="preserve">(1), </w:t>
      </w:r>
    </w:p>
    <w:p w14:paraId="55056483" w14:textId="77777777" w:rsidR="00D90040" w:rsidRDefault="00B4627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1–8. https://doi.org/10.1016/0005-7967(86)90143-9 </w:t>
      </w:r>
    </w:p>
    <w:p w14:paraId="4AEDC8E9" w14:textId="77777777" w:rsidR="00D90040" w:rsidRDefault="00B46279">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Schmidt, N. B., Capron, D. W., Raines, A. M., &amp; Allan, N. P. (2014). Randomized clinical trial </w:t>
      </w:r>
    </w:p>
    <w:p w14:paraId="1F416BE3" w14:textId="77777777" w:rsidR="00D90040" w:rsidRDefault="00B4627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evaluating the efficacy of a brief intervention targeting anxiety sensitivity cognitive </w:t>
      </w:r>
    </w:p>
    <w:p w14:paraId="2BD4A3C1" w14:textId="77777777" w:rsidR="00D90040" w:rsidRDefault="00B4627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concerns. </w:t>
      </w:r>
      <w:r>
        <w:rPr>
          <w:rFonts w:ascii="Times New Roman" w:eastAsia="Times New Roman" w:hAnsi="Times New Roman" w:cs="Times New Roman"/>
          <w:i/>
          <w:sz w:val="24"/>
          <w:szCs w:val="24"/>
        </w:rPr>
        <w:t>Journal of Consulting and Clinical Psychology,82</w:t>
      </w:r>
      <w:r>
        <w:rPr>
          <w:rFonts w:ascii="Times New Roman" w:eastAsia="Times New Roman" w:hAnsi="Times New Roman" w:cs="Times New Roman"/>
          <w:sz w:val="24"/>
          <w:szCs w:val="24"/>
        </w:rPr>
        <w:t xml:space="preserve">(6), 1023-1033. </w:t>
      </w:r>
    </w:p>
    <w:p w14:paraId="179AF71C" w14:textId="77777777" w:rsidR="00D90040" w:rsidRDefault="00B4627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doi:10.1037/a0036651</w:t>
      </w:r>
    </w:p>
    <w:p w14:paraId="2F06B867" w14:textId="77777777" w:rsidR="00D90040" w:rsidRDefault="00B46279">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Simpson, T., </w:t>
      </w:r>
      <w:proofErr w:type="spellStart"/>
      <w:r>
        <w:rPr>
          <w:rFonts w:ascii="Times New Roman" w:eastAsia="Times New Roman" w:hAnsi="Times New Roman" w:cs="Times New Roman"/>
          <w:sz w:val="24"/>
          <w:szCs w:val="24"/>
        </w:rPr>
        <w:t>Jakupcak</w:t>
      </w:r>
      <w:proofErr w:type="spellEnd"/>
      <w:r>
        <w:rPr>
          <w:rFonts w:ascii="Times New Roman" w:eastAsia="Times New Roman" w:hAnsi="Times New Roman" w:cs="Times New Roman"/>
          <w:sz w:val="24"/>
          <w:szCs w:val="24"/>
        </w:rPr>
        <w:t xml:space="preserve">, M., &amp; </w:t>
      </w:r>
      <w:proofErr w:type="spellStart"/>
      <w:r>
        <w:rPr>
          <w:rFonts w:ascii="Times New Roman" w:eastAsia="Times New Roman" w:hAnsi="Times New Roman" w:cs="Times New Roman"/>
          <w:sz w:val="24"/>
          <w:szCs w:val="24"/>
        </w:rPr>
        <w:t>Luterek</w:t>
      </w:r>
      <w:proofErr w:type="spellEnd"/>
      <w:r>
        <w:rPr>
          <w:rFonts w:ascii="Times New Roman" w:eastAsia="Times New Roman" w:hAnsi="Times New Roman" w:cs="Times New Roman"/>
          <w:sz w:val="24"/>
          <w:szCs w:val="24"/>
        </w:rPr>
        <w:t xml:space="preserve">, J. A. (2006). Fear and avoidance </w:t>
      </w:r>
      <w:r>
        <w:rPr>
          <w:rFonts w:ascii="Times New Roman" w:eastAsia="Times New Roman" w:hAnsi="Times New Roman" w:cs="Times New Roman"/>
          <w:sz w:val="24"/>
          <w:szCs w:val="24"/>
        </w:rPr>
        <w:t xml:space="preserve">of internal experiences  </w:t>
      </w:r>
    </w:p>
    <w:p w14:paraId="2FDD08FB" w14:textId="77777777" w:rsidR="00D90040" w:rsidRDefault="00B4627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among patients with substance use disorders and PTSD: The centrality of anxiety </w:t>
      </w:r>
    </w:p>
    <w:p w14:paraId="4DAE5C8D" w14:textId="77777777" w:rsidR="00D90040" w:rsidRDefault="00B4627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sensitivity. Journal of Traumatic Stress, 19(4), 481–491. </w:t>
      </w:r>
      <w:proofErr w:type="spellStart"/>
      <w:r>
        <w:rPr>
          <w:rFonts w:ascii="Times New Roman" w:eastAsia="Times New Roman" w:hAnsi="Times New Roman" w:cs="Times New Roman"/>
          <w:sz w:val="24"/>
          <w:szCs w:val="24"/>
        </w:rPr>
        <w:t>doi</w:t>
      </w:r>
      <w:proofErr w:type="spellEnd"/>
      <w:r>
        <w:rPr>
          <w:rFonts w:ascii="Times New Roman" w:eastAsia="Times New Roman" w:hAnsi="Times New Roman" w:cs="Times New Roman"/>
          <w:sz w:val="24"/>
          <w:szCs w:val="24"/>
        </w:rPr>
        <w:t>: 10.1002/jts.20128</w:t>
      </w:r>
    </w:p>
    <w:p w14:paraId="35215F1F" w14:textId="77777777" w:rsidR="00D90040" w:rsidRDefault="00B46279">
      <w:pPr>
        <w:spacing w:line="480" w:lineRule="auto"/>
        <w:rPr>
          <w:rFonts w:ascii="Times New Roman" w:eastAsia="Times New Roman" w:hAnsi="Times New Roman" w:cs="Times New Roman"/>
          <w:color w:val="212121"/>
          <w:sz w:val="24"/>
          <w:szCs w:val="24"/>
          <w:highlight w:val="white"/>
        </w:rPr>
      </w:pPr>
      <w:r>
        <w:rPr>
          <w:rFonts w:ascii="Times New Roman" w:eastAsia="Times New Roman" w:hAnsi="Times New Roman" w:cs="Times New Roman"/>
          <w:color w:val="212121"/>
          <w:sz w:val="24"/>
          <w:szCs w:val="24"/>
          <w:highlight w:val="white"/>
        </w:rPr>
        <w:t xml:space="preserve">Smits, J. A., Berry, A. C., </w:t>
      </w:r>
      <w:proofErr w:type="spellStart"/>
      <w:r>
        <w:rPr>
          <w:rFonts w:ascii="Times New Roman" w:eastAsia="Times New Roman" w:hAnsi="Times New Roman" w:cs="Times New Roman"/>
          <w:color w:val="212121"/>
          <w:sz w:val="24"/>
          <w:szCs w:val="24"/>
          <w:highlight w:val="white"/>
        </w:rPr>
        <w:t>Rosenfield</w:t>
      </w:r>
      <w:proofErr w:type="spellEnd"/>
      <w:r>
        <w:rPr>
          <w:rFonts w:ascii="Times New Roman" w:eastAsia="Times New Roman" w:hAnsi="Times New Roman" w:cs="Times New Roman"/>
          <w:color w:val="212121"/>
          <w:sz w:val="24"/>
          <w:szCs w:val="24"/>
          <w:highlight w:val="white"/>
        </w:rPr>
        <w:t>, D., Powers, M. B., Behar, E.</w:t>
      </w:r>
      <w:r>
        <w:rPr>
          <w:rFonts w:ascii="Times New Roman" w:eastAsia="Times New Roman" w:hAnsi="Times New Roman" w:cs="Times New Roman"/>
          <w:color w:val="212121"/>
          <w:sz w:val="24"/>
          <w:szCs w:val="24"/>
          <w:highlight w:val="white"/>
        </w:rPr>
        <w:t xml:space="preserve">, &amp; Otto, M. W. (2008). </w:t>
      </w:r>
    </w:p>
    <w:p w14:paraId="5C4AF031" w14:textId="77777777" w:rsidR="00D90040" w:rsidRDefault="00B46279">
      <w:pPr>
        <w:spacing w:line="480" w:lineRule="auto"/>
        <w:ind w:firstLine="720"/>
        <w:rPr>
          <w:rFonts w:ascii="Times New Roman" w:eastAsia="Times New Roman" w:hAnsi="Times New Roman" w:cs="Times New Roman"/>
          <w:color w:val="212121"/>
          <w:sz w:val="24"/>
          <w:szCs w:val="24"/>
          <w:highlight w:val="white"/>
        </w:rPr>
      </w:pPr>
      <w:r>
        <w:rPr>
          <w:rFonts w:ascii="Times New Roman" w:eastAsia="Times New Roman" w:hAnsi="Times New Roman" w:cs="Times New Roman"/>
          <w:color w:val="212121"/>
          <w:sz w:val="24"/>
          <w:szCs w:val="24"/>
          <w:highlight w:val="white"/>
        </w:rPr>
        <w:t xml:space="preserve">Reducing anxiety sensitivity with exercise. </w:t>
      </w:r>
      <w:r>
        <w:rPr>
          <w:rFonts w:ascii="Times New Roman" w:eastAsia="Times New Roman" w:hAnsi="Times New Roman" w:cs="Times New Roman"/>
          <w:i/>
          <w:color w:val="212121"/>
          <w:sz w:val="24"/>
          <w:szCs w:val="24"/>
        </w:rPr>
        <w:t>Depression and anxiety</w:t>
      </w:r>
      <w:r>
        <w:rPr>
          <w:rFonts w:ascii="Times New Roman" w:eastAsia="Times New Roman" w:hAnsi="Times New Roman" w:cs="Times New Roman"/>
          <w:color w:val="212121"/>
          <w:sz w:val="24"/>
          <w:szCs w:val="24"/>
          <w:highlight w:val="white"/>
        </w:rPr>
        <w:t xml:space="preserve">, </w:t>
      </w:r>
      <w:r>
        <w:rPr>
          <w:rFonts w:ascii="Times New Roman" w:eastAsia="Times New Roman" w:hAnsi="Times New Roman" w:cs="Times New Roman"/>
          <w:i/>
          <w:color w:val="212121"/>
          <w:sz w:val="24"/>
          <w:szCs w:val="24"/>
        </w:rPr>
        <w:t>25</w:t>
      </w:r>
      <w:r>
        <w:rPr>
          <w:rFonts w:ascii="Times New Roman" w:eastAsia="Times New Roman" w:hAnsi="Times New Roman" w:cs="Times New Roman"/>
          <w:color w:val="212121"/>
          <w:sz w:val="24"/>
          <w:szCs w:val="24"/>
          <w:highlight w:val="white"/>
        </w:rPr>
        <w:t xml:space="preserve">(8), 689–699. </w:t>
      </w:r>
    </w:p>
    <w:p w14:paraId="41ED7007" w14:textId="77777777" w:rsidR="00D90040" w:rsidRDefault="00B4627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color w:val="212121"/>
          <w:sz w:val="24"/>
          <w:szCs w:val="24"/>
          <w:highlight w:val="white"/>
        </w:rPr>
        <w:t>https://doi.org/10.1002/da.20411</w:t>
      </w:r>
    </w:p>
    <w:p w14:paraId="4CEF896B" w14:textId="77777777" w:rsidR="00D90040" w:rsidRDefault="00B46279">
      <w:pPr>
        <w:spacing w:line="480" w:lineRule="auto"/>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t>Stathopoulou</w:t>
      </w:r>
      <w:proofErr w:type="spellEnd"/>
      <w:r>
        <w:rPr>
          <w:rFonts w:ascii="Times New Roman" w:eastAsia="Times New Roman" w:hAnsi="Times New Roman" w:cs="Times New Roman"/>
          <w:sz w:val="24"/>
          <w:szCs w:val="24"/>
          <w:highlight w:val="white"/>
        </w:rPr>
        <w:t xml:space="preserve">, G., Pollack, M.H., &amp; Otto, M.W. (2018). Anxiety sensitivity moderates drug </w:t>
      </w:r>
    </w:p>
    <w:p w14:paraId="1C77B5A6" w14:textId="77777777" w:rsidR="00D90040" w:rsidRDefault="00B46279">
      <w:pPr>
        <w:spacing w:line="480" w:lineRule="auto"/>
        <w:ind w:left="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cravings in response to induced negative affect in opioid dependent outpatients. Addictive behaviors, 84, 75-78.</w:t>
      </w:r>
    </w:p>
    <w:p w14:paraId="37806ABC" w14:textId="77777777" w:rsidR="00D90040" w:rsidRDefault="00B46279">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Stewart, S. H. (1996). Alcohol abuse in individuals exposed to trauma: A critical review. </w:t>
      </w:r>
    </w:p>
    <w:p w14:paraId="548B886F" w14:textId="77777777" w:rsidR="00D90040" w:rsidRDefault="00B46279">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Psychological Bulletin, 120, 83– 112.</w:t>
      </w:r>
    </w:p>
    <w:p w14:paraId="07FDF7E0" w14:textId="77777777" w:rsidR="00D90040" w:rsidRDefault="00B46279">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Stewart, S. H.</w:t>
      </w:r>
      <w:r>
        <w:rPr>
          <w:rFonts w:ascii="Times New Roman" w:eastAsia="Times New Roman" w:hAnsi="Times New Roman" w:cs="Times New Roman"/>
          <w:sz w:val="24"/>
          <w:szCs w:val="24"/>
        </w:rPr>
        <w:t xml:space="preserve">, Karp, J., Pihl, R. O., &amp; Peterson, R. A. (1997). Anxiety sensitivity and </w:t>
      </w:r>
    </w:p>
    <w:p w14:paraId="351AEEEB" w14:textId="77777777" w:rsidR="00D90040" w:rsidRDefault="00B4627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self-reported reasons for drug use. </w:t>
      </w:r>
      <w:r>
        <w:rPr>
          <w:rFonts w:ascii="Times New Roman" w:eastAsia="Times New Roman" w:hAnsi="Times New Roman" w:cs="Times New Roman"/>
          <w:i/>
          <w:sz w:val="24"/>
          <w:szCs w:val="24"/>
        </w:rPr>
        <w:t>Journal of Substance Abuse</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9</w:t>
      </w:r>
      <w:r>
        <w:rPr>
          <w:rFonts w:ascii="Times New Roman" w:eastAsia="Times New Roman" w:hAnsi="Times New Roman" w:cs="Times New Roman"/>
          <w:sz w:val="24"/>
          <w:szCs w:val="24"/>
        </w:rPr>
        <w:t xml:space="preserve">, 223–240. </w:t>
      </w:r>
    </w:p>
    <w:p w14:paraId="654C7D18" w14:textId="77777777" w:rsidR="00D90040" w:rsidRDefault="00B46279">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https://doi.org/10.1016/s0899-3289(97)90018-3 </w:t>
      </w:r>
    </w:p>
    <w:p w14:paraId="4267E5C0" w14:textId="77777777" w:rsidR="00D90040" w:rsidRDefault="00B46279">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Tate, S. R., Norman, S. B., </w:t>
      </w:r>
      <w:proofErr w:type="spellStart"/>
      <w:r>
        <w:rPr>
          <w:rFonts w:ascii="Times New Roman" w:eastAsia="Times New Roman" w:hAnsi="Times New Roman" w:cs="Times New Roman"/>
          <w:sz w:val="24"/>
          <w:szCs w:val="24"/>
        </w:rPr>
        <w:t>McQuaid</w:t>
      </w:r>
      <w:proofErr w:type="spellEnd"/>
      <w:r>
        <w:rPr>
          <w:rFonts w:ascii="Times New Roman" w:eastAsia="Times New Roman" w:hAnsi="Times New Roman" w:cs="Times New Roman"/>
          <w:sz w:val="24"/>
          <w:szCs w:val="24"/>
        </w:rPr>
        <w:t xml:space="preserve">, J. R., &amp; Brown, S. </w:t>
      </w:r>
      <w:r>
        <w:rPr>
          <w:rFonts w:ascii="Times New Roman" w:eastAsia="Times New Roman" w:hAnsi="Times New Roman" w:cs="Times New Roman"/>
          <w:sz w:val="24"/>
          <w:szCs w:val="24"/>
        </w:rPr>
        <w:t xml:space="preserve">A. (2007). Health problems of </w:t>
      </w:r>
    </w:p>
    <w:p w14:paraId="26E5BD09" w14:textId="77777777" w:rsidR="00D90040" w:rsidRDefault="00B4627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substance-dependent veterans with and those without trauma history. Journal of </w:t>
      </w:r>
    </w:p>
    <w:p w14:paraId="5691C448" w14:textId="77777777" w:rsidR="00D90040" w:rsidRDefault="00B4627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Substance Abuse Treatment, 33, 25–32. doi:10.1016/j.jsat.2006.11.006</w:t>
      </w:r>
    </w:p>
    <w:p w14:paraId="3123D8F8" w14:textId="77777777" w:rsidR="00D90040" w:rsidRDefault="00B46279">
      <w:pPr>
        <w:spacing w:line="48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Vujanovic</w:t>
      </w:r>
      <w:proofErr w:type="spellEnd"/>
      <w:r>
        <w:rPr>
          <w:rFonts w:ascii="Times New Roman" w:eastAsia="Times New Roman" w:hAnsi="Times New Roman" w:cs="Times New Roman"/>
          <w:sz w:val="24"/>
          <w:szCs w:val="24"/>
        </w:rPr>
        <w:t xml:space="preserve">, A. A., Farris, S. G., Bartlett, B. A., Lyons, R. C., Haller, M., </w:t>
      </w:r>
      <w:proofErr w:type="spellStart"/>
      <w:r>
        <w:rPr>
          <w:rFonts w:ascii="Times New Roman" w:eastAsia="Times New Roman" w:hAnsi="Times New Roman" w:cs="Times New Roman"/>
          <w:sz w:val="24"/>
          <w:szCs w:val="24"/>
        </w:rPr>
        <w:t>Colvonen</w:t>
      </w:r>
      <w:proofErr w:type="spellEnd"/>
      <w:r>
        <w:rPr>
          <w:rFonts w:ascii="Times New Roman" w:eastAsia="Times New Roman" w:hAnsi="Times New Roman" w:cs="Times New Roman"/>
          <w:sz w:val="24"/>
          <w:szCs w:val="24"/>
        </w:rPr>
        <w:t xml:space="preserve">, P. J., &amp; </w:t>
      </w:r>
    </w:p>
    <w:p w14:paraId="474781A1" w14:textId="77777777" w:rsidR="00D90040" w:rsidRDefault="00B46279" w:rsidP="00245CF7">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Norman, S. B. (2018). Anxiety sensitivity in the association between posttraumatic stress and substance use disorders: A systematic review. </w:t>
      </w:r>
      <w:r>
        <w:rPr>
          <w:rFonts w:ascii="Times New Roman" w:eastAsia="Times New Roman" w:hAnsi="Times New Roman" w:cs="Times New Roman"/>
          <w:i/>
          <w:sz w:val="24"/>
          <w:szCs w:val="24"/>
        </w:rPr>
        <w:t>Clinical Psychology Review</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62</w:t>
      </w:r>
      <w:r>
        <w:rPr>
          <w:rFonts w:ascii="Times New Roman" w:eastAsia="Times New Roman" w:hAnsi="Times New Roman" w:cs="Times New Roman"/>
          <w:sz w:val="24"/>
          <w:szCs w:val="24"/>
        </w:rPr>
        <w:t xml:space="preserve">, 37–55. https://doi.org/10.1016/j.cpr.2018.05.003 </w:t>
      </w:r>
      <w:bookmarkStart w:id="1" w:name="_GoBack"/>
      <w:bookmarkEnd w:id="1"/>
    </w:p>
    <w:p w14:paraId="1D44C7AB" w14:textId="77777777" w:rsidR="00D90040" w:rsidRDefault="00D90040">
      <w:pPr>
        <w:spacing w:line="480" w:lineRule="auto"/>
        <w:rPr>
          <w:rFonts w:ascii="Times New Roman" w:eastAsia="Times New Roman" w:hAnsi="Times New Roman" w:cs="Times New Roman"/>
          <w:sz w:val="24"/>
          <w:szCs w:val="24"/>
        </w:rPr>
      </w:pPr>
    </w:p>
    <w:p w14:paraId="72ACBE37" w14:textId="77777777" w:rsidR="00D90040" w:rsidRDefault="00D90040">
      <w:pPr>
        <w:spacing w:line="480" w:lineRule="auto"/>
        <w:rPr>
          <w:rFonts w:ascii="Times New Roman" w:eastAsia="Times New Roman" w:hAnsi="Times New Roman" w:cs="Times New Roman"/>
          <w:sz w:val="24"/>
          <w:szCs w:val="24"/>
        </w:rPr>
      </w:pPr>
    </w:p>
    <w:p w14:paraId="680A2EAD" w14:textId="77777777" w:rsidR="00D90040" w:rsidRDefault="00B46279">
      <w:pPr>
        <w:spacing w:after="20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1</w:t>
      </w:r>
    </w:p>
    <w:p w14:paraId="69AD95DC" w14:textId="77777777" w:rsidR="00D90040" w:rsidRDefault="00B46279">
      <w:pPr>
        <w:spacing w:after="200"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Effect of PTSD and Individual Current SUDs on ASI</w:t>
      </w:r>
    </w:p>
    <w:tbl>
      <w:tblPr>
        <w:tblStyle w:val="a"/>
        <w:tblW w:w="6975" w:type="dxa"/>
        <w:tblBorders>
          <w:top w:val="nil"/>
          <w:left w:val="nil"/>
          <w:bottom w:val="nil"/>
          <w:right w:val="nil"/>
          <w:insideH w:val="nil"/>
          <w:insideV w:val="nil"/>
        </w:tblBorders>
        <w:tblLayout w:type="fixed"/>
        <w:tblLook w:val="0600" w:firstRow="0" w:lastRow="0" w:firstColumn="0" w:lastColumn="0" w:noHBand="1" w:noVBand="1"/>
      </w:tblPr>
      <w:tblGrid>
        <w:gridCol w:w="1875"/>
        <w:gridCol w:w="1230"/>
        <w:gridCol w:w="1395"/>
        <w:gridCol w:w="2475"/>
      </w:tblGrid>
      <w:tr w:rsidR="00D90040" w14:paraId="10617482" w14:textId="77777777">
        <w:trPr>
          <w:trHeight w:val="765"/>
        </w:trPr>
        <w:tc>
          <w:tcPr>
            <w:tcW w:w="1875" w:type="dxa"/>
            <w:tcBorders>
              <w:top w:val="single" w:sz="8" w:space="0" w:color="000000"/>
              <w:left w:val="nil"/>
              <w:bottom w:val="single" w:sz="8" w:space="0" w:color="000000"/>
              <w:right w:val="nil"/>
            </w:tcBorders>
            <w:tcMar>
              <w:top w:w="100" w:type="dxa"/>
              <w:left w:w="100" w:type="dxa"/>
              <w:bottom w:w="100" w:type="dxa"/>
              <w:right w:w="100" w:type="dxa"/>
            </w:tcMar>
          </w:tcPr>
          <w:p w14:paraId="435B1228"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Variable</w:t>
            </w:r>
          </w:p>
        </w:tc>
        <w:tc>
          <w:tcPr>
            <w:tcW w:w="1230" w:type="dxa"/>
            <w:tcBorders>
              <w:top w:val="single" w:sz="8" w:space="0" w:color="000000"/>
              <w:left w:val="nil"/>
              <w:bottom w:val="single" w:sz="8" w:space="0" w:color="000000"/>
              <w:right w:val="nil"/>
            </w:tcBorders>
            <w:tcMar>
              <w:top w:w="100" w:type="dxa"/>
              <w:left w:w="100" w:type="dxa"/>
              <w:bottom w:w="100" w:type="dxa"/>
              <w:right w:w="100" w:type="dxa"/>
            </w:tcMar>
          </w:tcPr>
          <w:p w14:paraId="17D45E54" w14:textId="77777777" w:rsidR="00D90040" w:rsidRDefault="00B46279">
            <w:pP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F</w:t>
            </w:r>
          </w:p>
        </w:tc>
        <w:tc>
          <w:tcPr>
            <w:tcW w:w="1395" w:type="dxa"/>
            <w:tcBorders>
              <w:top w:val="single" w:sz="8" w:space="0" w:color="000000"/>
              <w:left w:val="nil"/>
              <w:bottom w:val="single" w:sz="8" w:space="0" w:color="000000"/>
              <w:right w:val="nil"/>
            </w:tcBorders>
            <w:tcMar>
              <w:top w:w="100" w:type="dxa"/>
              <w:left w:w="100" w:type="dxa"/>
              <w:bottom w:w="100" w:type="dxa"/>
              <w:right w:w="100" w:type="dxa"/>
            </w:tcMar>
          </w:tcPr>
          <w:p w14:paraId="49336F2B" w14:textId="77777777" w:rsidR="00D90040" w:rsidRDefault="00B46279">
            <w:pPr>
              <w:spacing w:line="240" w:lineRule="auto"/>
              <w:rPr>
                <w:rFonts w:ascii="Times New Roman" w:eastAsia="Times New Roman" w:hAnsi="Times New Roman" w:cs="Times New Roman"/>
                <w:i/>
                <w:sz w:val="24"/>
                <w:szCs w:val="24"/>
              </w:rPr>
            </w:pPr>
            <w:proofErr w:type="spellStart"/>
            <w:r>
              <w:rPr>
                <w:rFonts w:ascii="Times New Roman" w:eastAsia="Times New Roman" w:hAnsi="Times New Roman" w:cs="Times New Roman"/>
                <w:i/>
                <w:sz w:val="24"/>
                <w:szCs w:val="24"/>
              </w:rPr>
              <w:t>df</w:t>
            </w:r>
            <w:proofErr w:type="spellEnd"/>
          </w:p>
        </w:tc>
        <w:tc>
          <w:tcPr>
            <w:tcW w:w="2475" w:type="dxa"/>
            <w:tcBorders>
              <w:top w:val="single" w:sz="8" w:space="0" w:color="000000"/>
              <w:left w:val="nil"/>
              <w:bottom w:val="single" w:sz="8" w:space="0" w:color="000000"/>
              <w:right w:val="nil"/>
            </w:tcBorders>
            <w:tcMar>
              <w:top w:w="100" w:type="dxa"/>
              <w:left w:w="100" w:type="dxa"/>
              <w:bottom w:w="100" w:type="dxa"/>
              <w:right w:w="100" w:type="dxa"/>
            </w:tcMar>
          </w:tcPr>
          <w:p w14:paraId="553C965E"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Significance (p-value)</w:t>
            </w:r>
          </w:p>
        </w:tc>
      </w:tr>
      <w:tr w:rsidR="00D90040" w14:paraId="2E0B5117" w14:textId="77777777">
        <w:trPr>
          <w:trHeight w:val="675"/>
        </w:trPr>
        <w:tc>
          <w:tcPr>
            <w:tcW w:w="1875" w:type="dxa"/>
            <w:tcBorders>
              <w:top w:val="nil"/>
              <w:left w:val="nil"/>
              <w:bottom w:val="nil"/>
              <w:right w:val="nil"/>
            </w:tcBorders>
            <w:tcMar>
              <w:top w:w="100" w:type="dxa"/>
              <w:left w:w="100" w:type="dxa"/>
              <w:bottom w:w="100" w:type="dxa"/>
              <w:right w:w="100" w:type="dxa"/>
            </w:tcMar>
          </w:tcPr>
          <w:p w14:paraId="05BF6956"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Age</w:t>
            </w:r>
          </w:p>
        </w:tc>
        <w:tc>
          <w:tcPr>
            <w:tcW w:w="1230" w:type="dxa"/>
            <w:tcBorders>
              <w:top w:val="nil"/>
              <w:left w:val="nil"/>
              <w:bottom w:val="nil"/>
              <w:right w:val="nil"/>
            </w:tcBorders>
            <w:tcMar>
              <w:top w:w="100" w:type="dxa"/>
              <w:left w:w="100" w:type="dxa"/>
              <w:bottom w:w="100" w:type="dxa"/>
              <w:right w:w="100" w:type="dxa"/>
            </w:tcMar>
          </w:tcPr>
          <w:p w14:paraId="1B38AE02"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11.6880</w:t>
            </w:r>
          </w:p>
        </w:tc>
        <w:tc>
          <w:tcPr>
            <w:tcW w:w="1395" w:type="dxa"/>
            <w:tcBorders>
              <w:top w:val="nil"/>
              <w:left w:val="nil"/>
              <w:bottom w:val="nil"/>
              <w:right w:val="nil"/>
            </w:tcBorders>
            <w:tcMar>
              <w:top w:w="100" w:type="dxa"/>
              <w:left w:w="100" w:type="dxa"/>
              <w:bottom w:w="100" w:type="dxa"/>
              <w:right w:w="100" w:type="dxa"/>
            </w:tcMar>
          </w:tcPr>
          <w:p w14:paraId="68784B2E"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1, 1488</w:t>
            </w:r>
          </w:p>
        </w:tc>
        <w:tc>
          <w:tcPr>
            <w:tcW w:w="2475" w:type="dxa"/>
            <w:tcBorders>
              <w:top w:val="nil"/>
              <w:left w:val="nil"/>
              <w:bottom w:val="nil"/>
              <w:right w:val="nil"/>
            </w:tcBorders>
            <w:tcMar>
              <w:top w:w="100" w:type="dxa"/>
              <w:left w:w="100" w:type="dxa"/>
              <w:bottom w:w="100" w:type="dxa"/>
              <w:right w:w="100" w:type="dxa"/>
            </w:tcMar>
          </w:tcPr>
          <w:p w14:paraId="69E91659"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&lt;0.001***</w:t>
            </w:r>
          </w:p>
        </w:tc>
      </w:tr>
      <w:tr w:rsidR="00D90040" w14:paraId="0F1E4671" w14:textId="77777777">
        <w:trPr>
          <w:trHeight w:val="660"/>
        </w:trPr>
        <w:tc>
          <w:tcPr>
            <w:tcW w:w="1875" w:type="dxa"/>
            <w:tcBorders>
              <w:top w:val="nil"/>
              <w:left w:val="nil"/>
              <w:bottom w:val="nil"/>
              <w:right w:val="nil"/>
            </w:tcBorders>
            <w:tcMar>
              <w:top w:w="100" w:type="dxa"/>
              <w:left w:w="100" w:type="dxa"/>
              <w:bottom w:w="100" w:type="dxa"/>
              <w:right w:w="100" w:type="dxa"/>
            </w:tcMar>
          </w:tcPr>
          <w:p w14:paraId="0332A365"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Gender</w:t>
            </w:r>
          </w:p>
        </w:tc>
        <w:tc>
          <w:tcPr>
            <w:tcW w:w="1230" w:type="dxa"/>
            <w:tcBorders>
              <w:top w:val="nil"/>
              <w:left w:val="nil"/>
              <w:bottom w:val="nil"/>
              <w:right w:val="nil"/>
            </w:tcBorders>
            <w:tcMar>
              <w:top w:w="100" w:type="dxa"/>
              <w:left w:w="100" w:type="dxa"/>
              <w:bottom w:w="100" w:type="dxa"/>
              <w:right w:w="100" w:type="dxa"/>
            </w:tcMar>
          </w:tcPr>
          <w:p w14:paraId="48B30A78"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2.1891</w:t>
            </w:r>
          </w:p>
        </w:tc>
        <w:tc>
          <w:tcPr>
            <w:tcW w:w="1395" w:type="dxa"/>
            <w:tcBorders>
              <w:top w:val="nil"/>
              <w:left w:val="nil"/>
              <w:bottom w:val="nil"/>
              <w:right w:val="nil"/>
            </w:tcBorders>
            <w:tcMar>
              <w:top w:w="100" w:type="dxa"/>
              <w:left w:w="100" w:type="dxa"/>
              <w:bottom w:w="100" w:type="dxa"/>
              <w:right w:w="100" w:type="dxa"/>
            </w:tcMar>
          </w:tcPr>
          <w:p w14:paraId="17A580F4"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1, 1488</w:t>
            </w:r>
          </w:p>
        </w:tc>
        <w:tc>
          <w:tcPr>
            <w:tcW w:w="2475" w:type="dxa"/>
            <w:tcBorders>
              <w:top w:val="nil"/>
              <w:left w:val="nil"/>
              <w:bottom w:val="nil"/>
              <w:right w:val="nil"/>
            </w:tcBorders>
            <w:tcMar>
              <w:top w:w="100" w:type="dxa"/>
              <w:left w:w="100" w:type="dxa"/>
              <w:bottom w:w="100" w:type="dxa"/>
              <w:right w:w="100" w:type="dxa"/>
            </w:tcMar>
          </w:tcPr>
          <w:p w14:paraId="4350D593"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0.139</w:t>
            </w:r>
          </w:p>
        </w:tc>
      </w:tr>
      <w:tr w:rsidR="00D90040" w14:paraId="2F87733D" w14:textId="77777777">
        <w:trPr>
          <w:trHeight w:val="720"/>
        </w:trPr>
        <w:tc>
          <w:tcPr>
            <w:tcW w:w="1875" w:type="dxa"/>
            <w:tcBorders>
              <w:top w:val="nil"/>
              <w:left w:val="nil"/>
              <w:bottom w:val="nil"/>
              <w:right w:val="nil"/>
            </w:tcBorders>
            <w:tcMar>
              <w:top w:w="100" w:type="dxa"/>
              <w:left w:w="100" w:type="dxa"/>
              <w:bottom w:w="100" w:type="dxa"/>
              <w:right w:w="100" w:type="dxa"/>
            </w:tcMar>
          </w:tcPr>
          <w:p w14:paraId="17810EF5"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Income</w:t>
            </w:r>
          </w:p>
        </w:tc>
        <w:tc>
          <w:tcPr>
            <w:tcW w:w="1230" w:type="dxa"/>
            <w:tcBorders>
              <w:top w:val="nil"/>
              <w:left w:val="nil"/>
              <w:bottom w:val="nil"/>
              <w:right w:val="nil"/>
            </w:tcBorders>
            <w:tcMar>
              <w:top w:w="100" w:type="dxa"/>
              <w:left w:w="100" w:type="dxa"/>
              <w:bottom w:w="100" w:type="dxa"/>
              <w:right w:w="100" w:type="dxa"/>
            </w:tcMar>
          </w:tcPr>
          <w:p w14:paraId="4D277F6E"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5.5069</w:t>
            </w:r>
          </w:p>
        </w:tc>
        <w:tc>
          <w:tcPr>
            <w:tcW w:w="1395" w:type="dxa"/>
            <w:tcBorders>
              <w:top w:val="nil"/>
              <w:left w:val="nil"/>
              <w:bottom w:val="nil"/>
              <w:right w:val="nil"/>
            </w:tcBorders>
            <w:tcMar>
              <w:top w:w="100" w:type="dxa"/>
              <w:left w:w="100" w:type="dxa"/>
              <w:bottom w:w="100" w:type="dxa"/>
              <w:right w:w="100" w:type="dxa"/>
            </w:tcMar>
          </w:tcPr>
          <w:p w14:paraId="7F50822A"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1, 1488</w:t>
            </w:r>
          </w:p>
        </w:tc>
        <w:tc>
          <w:tcPr>
            <w:tcW w:w="2475" w:type="dxa"/>
            <w:tcBorders>
              <w:top w:val="nil"/>
              <w:left w:val="nil"/>
              <w:bottom w:val="nil"/>
              <w:right w:val="nil"/>
            </w:tcBorders>
            <w:tcMar>
              <w:top w:w="100" w:type="dxa"/>
              <w:left w:w="100" w:type="dxa"/>
              <w:bottom w:w="100" w:type="dxa"/>
              <w:right w:w="100" w:type="dxa"/>
            </w:tcMar>
          </w:tcPr>
          <w:p w14:paraId="4E9E71FA"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0.019*</w:t>
            </w:r>
          </w:p>
        </w:tc>
      </w:tr>
      <w:tr w:rsidR="00D90040" w14:paraId="39A57568" w14:textId="77777777">
        <w:trPr>
          <w:trHeight w:val="975"/>
        </w:trPr>
        <w:tc>
          <w:tcPr>
            <w:tcW w:w="1875" w:type="dxa"/>
            <w:tcBorders>
              <w:top w:val="nil"/>
              <w:left w:val="nil"/>
              <w:bottom w:val="nil"/>
              <w:right w:val="nil"/>
            </w:tcBorders>
            <w:tcMar>
              <w:top w:w="100" w:type="dxa"/>
              <w:left w:w="100" w:type="dxa"/>
              <w:bottom w:w="100" w:type="dxa"/>
              <w:right w:w="100" w:type="dxa"/>
            </w:tcMar>
          </w:tcPr>
          <w:p w14:paraId="7A5CC8D1"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Individual Current SUDs</w:t>
            </w:r>
          </w:p>
        </w:tc>
        <w:tc>
          <w:tcPr>
            <w:tcW w:w="1230" w:type="dxa"/>
            <w:tcBorders>
              <w:top w:val="nil"/>
              <w:left w:val="nil"/>
              <w:bottom w:val="nil"/>
              <w:right w:val="nil"/>
            </w:tcBorders>
            <w:tcMar>
              <w:top w:w="100" w:type="dxa"/>
              <w:left w:w="100" w:type="dxa"/>
              <w:bottom w:w="100" w:type="dxa"/>
              <w:right w:w="100" w:type="dxa"/>
            </w:tcMar>
          </w:tcPr>
          <w:p w14:paraId="5490FC13"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14.3012</w:t>
            </w:r>
          </w:p>
        </w:tc>
        <w:tc>
          <w:tcPr>
            <w:tcW w:w="1395" w:type="dxa"/>
            <w:tcBorders>
              <w:top w:val="nil"/>
              <w:left w:val="nil"/>
              <w:bottom w:val="nil"/>
              <w:right w:val="nil"/>
            </w:tcBorders>
            <w:tcMar>
              <w:top w:w="100" w:type="dxa"/>
              <w:left w:w="100" w:type="dxa"/>
              <w:bottom w:w="100" w:type="dxa"/>
              <w:right w:w="100" w:type="dxa"/>
            </w:tcMar>
          </w:tcPr>
          <w:p w14:paraId="5923525F"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6, 1488</w:t>
            </w:r>
          </w:p>
        </w:tc>
        <w:tc>
          <w:tcPr>
            <w:tcW w:w="2475" w:type="dxa"/>
            <w:tcBorders>
              <w:top w:val="nil"/>
              <w:left w:val="nil"/>
              <w:bottom w:val="nil"/>
              <w:right w:val="nil"/>
            </w:tcBorders>
            <w:tcMar>
              <w:top w:w="100" w:type="dxa"/>
              <w:left w:w="100" w:type="dxa"/>
              <w:bottom w:w="100" w:type="dxa"/>
              <w:right w:w="100" w:type="dxa"/>
            </w:tcMar>
          </w:tcPr>
          <w:p w14:paraId="3B1BEED0"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&lt;0.001***</w:t>
            </w:r>
          </w:p>
        </w:tc>
      </w:tr>
      <w:tr w:rsidR="00D90040" w14:paraId="293BEED9" w14:textId="77777777">
        <w:trPr>
          <w:trHeight w:val="885"/>
        </w:trPr>
        <w:tc>
          <w:tcPr>
            <w:tcW w:w="1875" w:type="dxa"/>
            <w:tcBorders>
              <w:top w:val="nil"/>
              <w:left w:val="nil"/>
              <w:bottom w:val="nil"/>
              <w:right w:val="nil"/>
            </w:tcBorders>
            <w:tcMar>
              <w:top w:w="100" w:type="dxa"/>
              <w:left w:w="100" w:type="dxa"/>
              <w:bottom w:w="100" w:type="dxa"/>
              <w:right w:w="100" w:type="dxa"/>
            </w:tcMar>
          </w:tcPr>
          <w:p w14:paraId="1B95FA70"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Lifetime PTSD</w:t>
            </w:r>
          </w:p>
        </w:tc>
        <w:tc>
          <w:tcPr>
            <w:tcW w:w="1230" w:type="dxa"/>
            <w:tcBorders>
              <w:top w:val="nil"/>
              <w:left w:val="nil"/>
              <w:bottom w:val="nil"/>
              <w:right w:val="nil"/>
            </w:tcBorders>
            <w:tcMar>
              <w:top w:w="100" w:type="dxa"/>
              <w:left w:w="100" w:type="dxa"/>
              <w:bottom w:w="100" w:type="dxa"/>
              <w:right w:w="100" w:type="dxa"/>
            </w:tcMar>
          </w:tcPr>
          <w:p w14:paraId="63B5647D"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105.2535</w:t>
            </w:r>
          </w:p>
        </w:tc>
        <w:tc>
          <w:tcPr>
            <w:tcW w:w="1395" w:type="dxa"/>
            <w:tcBorders>
              <w:top w:val="nil"/>
              <w:left w:val="nil"/>
              <w:bottom w:val="nil"/>
              <w:right w:val="nil"/>
            </w:tcBorders>
            <w:tcMar>
              <w:top w:w="100" w:type="dxa"/>
              <w:left w:w="100" w:type="dxa"/>
              <w:bottom w:w="100" w:type="dxa"/>
              <w:right w:w="100" w:type="dxa"/>
            </w:tcMar>
          </w:tcPr>
          <w:p w14:paraId="40DD0C64"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1, 1488</w:t>
            </w:r>
          </w:p>
        </w:tc>
        <w:tc>
          <w:tcPr>
            <w:tcW w:w="2475" w:type="dxa"/>
            <w:tcBorders>
              <w:top w:val="nil"/>
              <w:left w:val="nil"/>
              <w:bottom w:val="nil"/>
              <w:right w:val="nil"/>
            </w:tcBorders>
            <w:tcMar>
              <w:top w:w="100" w:type="dxa"/>
              <w:left w:w="100" w:type="dxa"/>
              <w:bottom w:w="100" w:type="dxa"/>
              <w:right w:w="100" w:type="dxa"/>
            </w:tcMar>
          </w:tcPr>
          <w:p w14:paraId="7B313144"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&lt;0.001***</w:t>
            </w:r>
          </w:p>
        </w:tc>
      </w:tr>
      <w:tr w:rsidR="00D90040" w14:paraId="25905F43" w14:textId="77777777">
        <w:trPr>
          <w:trHeight w:val="1200"/>
        </w:trPr>
        <w:tc>
          <w:tcPr>
            <w:tcW w:w="1875" w:type="dxa"/>
            <w:tcBorders>
              <w:top w:val="nil"/>
              <w:left w:val="nil"/>
              <w:bottom w:val="single" w:sz="8" w:space="0" w:color="000000"/>
              <w:right w:val="nil"/>
            </w:tcBorders>
            <w:tcMar>
              <w:top w:w="100" w:type="dxa"/>
              <w:left w:w="100" w:type="dxa"/>
              <w:bottom w:w="100" w:type="dxa"/>
              <w:right w:w="100" w:type="dxa"/>
            </w:tcMar>
          </w:tcPr>
          <w:p w14:paraId="7B46B918"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Lifetime PTSD*Current SUDs</w:t>
            </w:r>
          </w:p>
        </w:tc>
        <w:tc>
          <w:tcPr>
            <w:tcW w:w="1230" w:type="dxa"/>
            <w:tcBorders>
              <w:top w:val="nil"/>
              <w:left w:val="nil"/>
              <w:bottom w:val="single" w:sz="8" w:space="0" w:color="000000"/>
              <w:right w:val="nil"/>
            </w:tcBorders>
            <w:tcMar>
              <w:top w:w="100" w:type="dxa"/>
              <w:left w:w="100" w:type="dxa"/>
              <w:bottom w:w="100" w:type="dxa"/>
              <w:right w:w="100" w:type="dxa"/>
            </w:tcMar>
          </w:tcPr>
          <w:p w14:paraId="6337CBBF"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1.9859</w:t>
            </w:r>
          </w:p>
        </w:tc>
        <w:tc>
          <w:tcPr>
            <w:tcW w:w="1395" w:type="dxa"/>
            <w:tcBorders>
              <w:top w:val="nil"/>
              <w:left w:val="nil"/>
              <w:bottom w:val="single" w:sz="8" w:space="0" w:color="000000"/>
              <w:right w:val="nil"/>
            </w:tcBorders>
            <w:tcMar>
              <w:top w:w="100" w:type="dxa"/>
              <w:left w:w="100" w:type="dxa"/>
              <w:bottom w:w="100" w:type="dxa"/>
              <w:right w:w="100" w:type="dxa"/>
            </w:tcMar>
          </w:tcPr>
          <w:p w14:paraId="6E904C4E"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6, 1488</w:t>
            </w:r>
          </w:p>
        </w:tc>
        <w:tc>
          <w:tcPr>
            <w:tcW w:w="2475" w:type="dxa"/>
            <w:tcBorders>
              <w:top w:val="nil"/>
              <w:left w:val="nil"/>
              <w:bottom w:val="single" w:sz="8" w:space="0" w:color="000000"/>
              <w:right w:val="nil"/>
            </w:tcBorders>
            <w:tcMar>
              <w:top w:w="100" w:type="dxa"/>
              <w:left w:w="100" w:type="dxa"/>
              <w:bottom w:w="100" w:type="dxa"/>
              <w:right w:w="100" w:type="dxa"/>
            </w:tcMar>
          </w:tcPr>
          <w:p w14:paraId="30CC3816"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0.065</w:t>
            </w:r>
          </w:p>
        </w:tc>
      </w:tr>
    </w:tbl>
    <w:p w14:paraId="2EA35AD1"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p-value &lt;0.001***, &lt;0.01**, &lt;.05*</w:t>
      </w:r>
    </w:p>
    <w:p w14:paraId="4BDFD6B9" w14:textId="77777777" w:rsidR="00D90040" w:rsidRDefault="00D90040">
      <w:pPr>
        <w:spacing w:line="240" w:lineRule="auto"/>
        <w:ind w:firstLine="720"/>
        <w:rPr>
          <w:rFonts w:ascii="Times New Roman" w:eastAsia="Times New Roman" w:hAnsi="Times New Roman" w:cs="Times New Roman"/>
          <w:sz w:val="24"/>
          <w:szCs w:val="24"/>
        </w:rPr>
      </w:pPr>
    </w:p>
    <w:p w14:paraId="653D4608" w14:textId="77777777" w:rsidR="00D90040" w:rsidRDefault="00D90040">
      <w:pPr>
        <w:spacing w:line="240" w:lineRule="auto"/>
        <w:ind w:firstLine="720"/>
        <w:rPr>
          <w:rFonts w:ascii="Times New Roman" w:eastAsia="Times New Roman" w:hAnsi="Times New Roman" w:cs="Times New Roman"/>
          <w:sz w:val="24"/>
          <w:szCs w:val="24"/>
        </w:rPr>
      </w:pPr>
    </w:p>
    <w:p w14:paraId="7AB47E0A" w14:textId="77777777" w:rsidR="00D90040" w:rsidRDefault="00D90040">
      <w:pPr>
        <w:spacing w:after="200" w:line="240" w:lineRule="auto"/>
        <w:rPr>
          <w:rFonts w:ascii="Times New Roman" w:eastAsia="Times New Roman" w:hAnsi="Times New Roman" w:cs="Times New Roman"/>
          <w:sz w:val="24"/>
          <w:szCs w:val="24"/>
        </w:rPr>
      </w:pPr>
    </w:p>
    <w:p w14:paraId="79543D5D" w14:textId="77777777" w:rsidR="00D90040" w:rsidRDefault="00B46279">
      <w:pPr>
        <w:spacing w:after="20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2</w:t>
      </w:r>
    </w:p>
    <w:p w14:paraId="2FC3232E" w14:textId="77777777" w:rsidR="00D90040" w:rsidRDefault="00B46279">
      <w:pPr>
        <w:spacing w:after="200"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Effect of PTSD and Individual Lifetime SUDs on ASI</w:t>
      </w:r>
    </w:p>
    <w:tbl>
      <w:tblPr>
        <w:tblStyle w:val="a0"/>
        <w:tblW w:w="6975" w:type="dxa"/>
        <w:tblBorders>
          <w:top w:val="nil"/>
          <w:left w:val="nil"/>
          <w:bottom w:val="nil"/>
          <w:right w:val="nil"/>
          <w:insideH w:val="nil"/>
          <w:insideV w:val="nil"/>
        </w:tblBorders>
        <w:tblLayout w:type="fixed"/>
        <w:tblLook w:val="0600" w:firstRow="0" w:lastRow="0" w:firstColumn="0" w:lastColumn="0" w:noHBand="1" w:noVBand="1"/>
      </w:tblPr>
      <w:tblGrid>
        <w:gridCol w:w="1875"/>
        <w:gridCol w:w="1230"/>
        <w:gridCol w:w="1395"/>
        <w:gridCol w:w="2475"/>
      </w:tblGrid>
      <w:tr w:rsidR="00D90040" w14:paraId="6DCB19A7" w14:textId="77777777">
        <w:trPr>
          <w:trHeight w:val="585"/>
        </w:trPr>
        <w:tc>
          <w:tcPr>
            <w:tcW w:w="1875" w:type="dxa"/>
            <w:tcBorders>
              <w:top w:val="single" w:sz="8" w:space="0" w:color="000000"/>
              <w:left w:val="nil"/>
              <w:bottom w:val="single" w:sz="8" w:space="0" w:color="000000"/>
              <w:right w:val="nil"/>
            </w:tcBorders>
            <w:tcMar>
              <w:top w:w="100" w:type="dxa"/>
              <w:left w:w="100" w:type="dxa"/>
              <w:bottom w:w="100" w:type="dxa"/>
              <w:right w:w="100" w:type="dxa"/>
            </w:tcMar>
          </w:tcPr>
          <w:p w14:paraId="6C296211"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Variable</w:t>
            </w:r>
          </w:p>
        </w:tc>
        <w:tc>
          <w:tcPr>
            <w:tcW w:w="1230" w:type="dxa"/>
            <w:tcBorders>
              <w:top w:val="single" w:sz="8" w:space="0" w:color="000000"/>
              <w:left w:val="nil"/>
              <w:bottom w:val="single" w:sz="8" w:space="0" w:color="000000"/>
              <w:right w:val="nil"/>
            </w:tcBorders>
            <w:tcMar>
              <w:top w:w="100" w:type="dxa"/>
              <w:left w:w="100" w:type="dxa"/>
              <w:bottom w:w="100" w:type="dxa"/>
              <w:right w:w="100" w:type="dxa"/>
            </w:tcMar>
          </w:tcPr>
          <w:p w14:paraId="0AA41586" w14:textId="77777777" w:rsidR="00D90040" w:rsidRDefault="00B46279">
            <w:pP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F</w:t>
            </w:r>
          </w:p>
        </w:tc>
        <w:tc>
          <w:tcPr>
            <w:tcW w:w="1395" w:type="dxa"/>
            <w:tcBorders>
              <w:top w:val="single" w:sz="8" w:space="0" w:color="000000"/>
              <w:left w:val="nil"/>
              <w:bottom w:val="single" w:sz="8" w:space="0" w:color="000000"/>
              <w:right w:val="nil"/>
            </w:tcBorders>
            <w:tcMar>
              <w:top w:w="100" w:type="dxa"/>
              <w:left w:w="100" w:type="dxa"/>
              <w:bottom w:w="100" w:type="dxa"/>
              <w:right w:w="100" w:type="dxa"/>
            </w:tcMar>
          </w:tcPr>
          <w:p w14:paraId="53DA6628" w14:textId="77777777" w:rsidR="00D90040" w:rsidRDefault="00B46279">
            <w:pPr>
              <w:spacing w:line="240" w:lineRule="auto"/>
              <w:rPr>
                <w:rFonts w:ascii="Times New Roman" w:eastAsia="Times New Roman" w:hAnsi="Times New Roman" w:cs="Times New Roman"/>
                <w:i/>
                <w:sz w:val="24"/>
                <w:szCs w:val="24"/>
              </w:rPr>
            </w:pPr>
            <w:proofErr w:type="spellStart"/>
            <w:r>
              <w:rPr>
                <w:rFonts w:ascii="Times New Roman" w:eastAsia="Times New Roman" w:hAnsi="Times New Roman" w:cs="Times New Roman"/>
                <w:i/>
                <w:sz w:val="24"/>
                <w:szCs w:val="24"/>
              </w:rPr>
              <w:t>df</w:t>
            </w:r>
            <w:proofErr w:type="spellEnd"/>
          </w:p>
        </w:tc>
        <w:tc>
          <w:tcPr>
            <w:tcW w:w="2475" w:type="dxa"/>
            <w:tcBorders>
              <w:top w:val="single" w:sz="8" w:space="0" w:color="000000"/>
              <w:left w:val="nil"/>
              <w:bottom w:val="single" w:sz="8" w:space="0" w:color="000000"/>
              <w:right w:val="nil"/>
            </w:tcBorders>
            <w:tcMar>
              <w:top w:w="100" w:type="dxa"/>
              <w:left w:w="100" w:type="dxa"/>
              <w:bottom w:w="100" w:type="dxa"/>
              <w:right w:w="100" w:type="dxa"/>
            </w:tcMar>
          </w:tcPr>
          <w:p w14:paraId="7C8DFA5F"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Significance (p-value)</w:t>
            </w:r>
          </w:p>
        </w:tc>
      </w:tr>
      <w:tr w:rsidR="00D90040" w14:paraId="6CC84855" w14:textId="77777777">
        <w:trPr>
          <w:trHeight w:val="540"/>
        </w:trPr>
        <w:tc>
          <w:tcPr>
            <w:tcW w:w="1875" w:type="dxa"/>
            <w:tcBorders>
              <w:top w:val="nil"/>
              <w:left w:val="nil"/>
              <w:bottom w:val="nil"/>
              <w:right w:val="nil"/>
            </w:tcBorders>
            <w:tcMar>
              <w:top w:w="100" w:type="dxa"/>
              <w:left w:w="100" w:type="dxa"/>
              <w:bottom w:w="100" w:type="dxa"/>
              <w:right w:w="100" w:type="dxa"/>
            </w:tcMar>
          </w:tcPr>
          <w:p w14:paraId="23A40159"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Age</w:t>
            </w:r>
          </w:p>
        </w:tc>
        <w:tc>
          <w:tcPr>
            <w:tcW w:w="1230" w:type="dxa"/>
            <w:tcBorders>
              <w:top w:val="nil"/>
              <w:left w:val="nil"/>
              <w:bottom w:val="nil"/>
              <w:right w:val="nil"/>
            </w:tcBorders>
            <w:tcMar>
              <w:top w:w="100" w:type="dxa"/>
              <w:left w:w="100" w:type="dxa"/>
              <w:bottom w:w="100" w:type="dxa"/>
              <w:right w:w="100" w:type="dxa"/>
            </w:tcMar>
          </w:tcPr>
          <w:p w14:paraId="65D4798A"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7.9653</w:t>
            </w:r>
          </w:p>
        </w:tc>
        <w:tc>
          <w:tcPr>
            <w:tcW w:w="1395" w:type="dxa"/>
            <w:tcBorders>
              <w:top w:val="nil"/>
              <w:left w:val="nil"/>
              <w:bottom w:val="nil"/>
              <w:right w:val="nil"/>
            </w:tcBorders>
            <w:tcMar>
              <w:top w:w="100" w:type="dxa"/>
              <w:left w:w="100" w:type="dxa"/>
              <w:bottom w:w="100" w:type="dxa"/>
              <w:right w:w="100" w:type="dxa"/>
            </w:tcMar>
          </w:tcPr>
          <w:p w14:paraId="2347848B"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1, 1492</w:t>
            </w:r>
          </w:p>
        </w:tc>
        <w:tc>
          <w:tcPr>
            <w:tcW w:w="2475" w:type="dxa"/>
            <w:tcBorders>
              <w:top w:val="nil"/>
              <w:left w:val="nil"/>
              <w:bottom w:val="nil"/>
              <w:right w:val="nil"/>
            </w:tcBorders>
            <w:tcMar>
              <w:top w:w="100" w:type="dxa"/>
              <w:left w:w="100" w:type="dxa"/>
              <w:bottom w:w="100" w:type="dxa"/>
              <w:right w:w="100" w:type="dxa"/>
            </w:tcMar>
          </w:tcPr>
          <w:p w14:paraId="09B48112"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0.0048**</w:t>
            </w:r>
          </w:p>
        </w:tc>
      </w:tr>
      <w:tr w:rsidR="00D90040" w14:paraId="4C59CE44" w14:textId="77777777">
        <w:trPr>
          <w:trHeight w:val="465"/>
        </w:trPr>
        <w:tc>
          <w:tcPr>
            <w:tcW w:w="1875" w:type="dxa"/>
            <w:tcBorders>
              <w:top w:val="nil"/>
              <w:left w:val="nil"/>
              <w:bottom w:val="nil"/>
              <w:right w:val="nil"/>
            </w:tcBorders>
            <w:tcMar>
              <w:top w:w="100" w:type="dxa"/>
              <w:left w:w="100" w:type="dxa"/>
              <w:bottom w:w="100" w:type="dxa"/>
              <w:right w:w="100" w:type="dxa"/>
            </w:tcMar>
          </w:tcPr>
          <w:p w14:paraId="5A8BD8F1"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Gender</w:t>
            </w:r>
          </w:p>
        </w:tc>
        <w:tc>
          <w:tcPr>
            <w:tcW w:w="1230" w:type="dxa"/>
            <w:tcBorders>
              <w:top w:val="nil"/>
              <w:left w:val="nil"/>
              <w:bottom w:val="nil"/>
              <w:right w:val="nil"/>
            </w:tcBorders>
            <w:tcMar>
              <w:top w:w="100" w:type="dxa"/>
              <w:left w:w="100" w:type="dxa"/>
              <w:bottom w:w="100" w:type="dxa"/>
              <w:right w:w="100" w:type="dxa"/>
            </w:tcMar>
          </w:tcPr>
          <w:p w14:paraId="420E7D54"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3.1780</w:t>
            </w:r>
          </w:p>
        </w:tc>
        <w:tc>
          <w:tcPr>
            <w:tcW w:w="1395" w:type="dxa"/>
            <w:tcBorders>
              <w:top w:val="nil"/>
              <w:left w:val="nil"/>
              <w:bottom w:val="nil"/>
              <w:right w:val="nil"/>
            </w:tcBorders>
            <w:tcMar>
              <w:top w:w="100" w:type="dxa"/>
              <w:left w:w="100" w:type="dxa"/>
              <w:bottom w:w="100" w:type="dxa"/>
              <w:right w:w="100" w:type="dxa"/>
            </w:tcMar>
          </w:tcPr>
          <w:p w14:paraId="40EAC8F2"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1, 1492</w:t>
            </w:r>
          </w:p>
        </w:tc>
        <w:tc>
          <w:tcPr>
            <w:tcW w:w="2475" w:type="dxa"/>
            <w:tcBorders>
              <w:top w:val="nil"/>
              <w:left w:val="nil"/>
              <w:bottom w:val="nil"/>
              <w:right w:val="nil"/>
            </w:tcBorders>
            <w:tcMar>
              <w:top w:w="100" w:type="dxa"/>
              <w:left w:w="100" w:type="dxa"/>
              <w:bottom w:w="100" w:type="dxa"/>
              <w:right w:w="100" w:type="dxa"/>
            </w:tcMar>
          </w:tcPr>
          <w:p w14:paraId="0A2BC60E"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0.075</w:t>
            </w:r>
          </w:p>
        </w:tc>
      </w:tr>
      <w:tr w:rsidR="00D90040" w14:paraId="305E28B6" w14:textId="77777777">
        <w:trPr>
          <w:trHeight w:val="525"/>
        </w:trPr>
        <w:tc>
          <w:tcPr>
            <w:tcW w:w="1875" w:type="dxa"/>
            <w:tcBorders>
              <w:top w:val="nil"/>
              <w:left w:val="nil"/>
              <w:bottom w:val="nil"/>
              <w:right w:val="nil"/>
            </w:tcBorders>
            <w:tcMar>
              <w:top w:w="100" w:type="dxa"/>
              <w:left w:w="100" w:type="dxa"/>
              <w:bottom w:w="100" w:type="dxa"/>
              <w:right w:w="100" w:type="dxa"/>
            </w:tcMar>
          </w:tcPr>
          <w:p w14:paraId="2C4AF5F9"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Income</w:t>
            </w:r>
          </w:p>
        </w:tc>
        <w:tc>
          <w:tcPr>
            <w:tcW w:w="1230" w:type="dxa"/>
            <w:tcBorders>
              <w:top w:val="nil"/>
              <w:left w:val="nil"/>
              <w:bottom w:val="nil"/>
              <w:right w:val="nil"/>
            </w:tcBorders>
            <w:tcMar>
              <w:top w:w="100" w:type="dxa"/>
              <w:left w:w="100" w:type="dxa"/>
              <w:bottom w:w="100" w:type="dxa"/>
              <w:right w:w="100" w:type="dxa"/>
            </w:tcMar>
          </w:tcPr>
          <w:p w14:paraId="52CB212E"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7.0990</w:t>
            </w:r>
          </w:p>
        </w:tc>
        <w:tc>
          <w:tcPr>
            <w:tcW w:w="1395" w:type="dxa"/>
            <w:tcBorders>
              <w:top w:val="nil"/>
              <w:left w:val="nil"/>
              <w:bottom w:val="nil"/>
              <w:right w:val="nil"/>
            </w:tcBorders>
            <w:tcMar>
              <w:top w:w="100" w:type="dxa"/>
              <w:left w:w="100" w:type="dxa"/>
              <w:bottom w:w="100" w:type="dxa"/>
              <w:right w:w="100" w:type="dxa"/>
            </w:tcMar>
          </w:tcPr>
          <w:p w14:paraId="55C4C5BD"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1, 1492</w:t>
            </w:r>
          </w:p>
        </w:tc>
        <w:tc>
          <w:tcPr>
            <w:tcW w:w="2475" w:type="dxa"/>
            <w:tcBorders>
              <w:top w:val="nil"/>
              <w:left w:val="nil"/>
              <w:bottom w:val="nil"/>
              <w:right w:val="nil"/>
            </w:tcBorders>
            <w:tcMar>
              <w:top w:w="100" w:type="dxa"/>
              <w:left w:w="100" w:type="dxa"/>
              <w:bottom w:w="100" w:type="dxa"/>
              <w:right w:w="100" w:type="dxa"/>
            </w:tcMar>
          </w:tcPr>
          <w:p w14:paraId="78E2D04E"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0.0078**</w:t>
            </w:r>
          </w:p>
        </w:tc>
      </w:tr>
      <w:tr w:rsidR="00D90040" w14:paraId="5B68C7E2" w14:textId="77777777">
        <w:trPr>
          <w:trHeight w:val="885"/>
        </w:trPr>
        <w:tc>
          <w:tcPr>
            <w:tcW w:w="1875" w:type="dxa"/>
            <w:tcBorders>
              <w:top w:val="nil"/>
              <w:left w:val="nil"/>
              <w:bottom w:val="nil"/>
              <w:right w:val="nil"/>
            </w:tcBorders>
            <w:tcMar>
              <w:top w:w="100" w:type="dxa"/>
              <w:left w:w="100" w:type="dxa"/>
              <w:bottom w:w="100" w:type="dxa"/>
              <w:right w:w="100" w:type="dxa"/>
            </w:tcMar>
          </w:tcPr>
          <w:p w14:paraId="274CA902"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Individual Lifetime SUDs</w:t>
            </w:r>
          </w:p>
        </w:tc>
        <w:tc>
          <w:tcPr>
            <w:tcW w:w="1230" w:type="dxa"/>
            <w:tcBorders>
              <w:top w:val="nil"/>
              <w:left w:val="nil"/>
              <w:bottom w:val="nil"/>
              <w:right w:val="nil"/>
            </w:tcBorders>
            <w:tcMar>
              <w:top w:w="100" w:type="dxa"/>
              <w:left w:w="100" w:type="dxa"/>
              <w:bottom w:w="100" w:type="dxa"/>
              <w:right w:w="100" w:type="dxa"/>
            </w:tcMar>
          </w:tcPr>
          <w:p w14:paraId="42FC71DE"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18.3658</w:t>
            </w:r>
          </w:p>
        </w:tc>
        <w:tc>
          <w:tcPr>
            <w:tcW w:w="1395" w:type="dxa"/>
            <w:tcBorders>
              <w:top w:val="nil"/>
              <w:left w:val="nil"/>
              <w:bottom w:val="nil"/>
              <w:right w:val="nil"/>
            </w:tcBorders>
            <w:tcMar>
              <w:top w:w="100" w:type="dxa"/>
              <w:left w:w="100" w:type="dxa"/>
              <w:bottom w:w="100" w:type="dxa"/>
              <w:right w:w="100" w:type="dxa"/>
            </w:tcMar>
          </w:tcPr>
          <w:p w14:paraId="69A917B4"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6, 1492</w:t>
            </w:r>
          </w:p>
        </w:tc>
        <w:tc>
          <w:tcPr>
            <w:tcW w:w="2475" w:type="dxa"/>
            <w:tcBorders>
              <w:top w:val="nil"/>
              <w:left w:val="nil"/>
              <w:bottom w:val="nil"/>
              <w:right w:val="nil"/>
            </w:tcBorders>
            <w:tcMar>
              <w:top w:w="100" w:type="dxa"/>
              <w:left w:w="100" w:type="dxa"/>
              <w:bottom w:w="100" w:type="dxa"/>
              <w:right w:w="100" w:type="dxa"/>
            </w:tcMar>
          </w:tcPr>
          <w:p w14:paraId="16FF4E3A"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&lt;0.001***</w:t>
            </w:r>
          </w:p>
        </w:tc>
      </w:tr>
      <w:tr w:rsidR="00D90040" w14:paraId="1491FDF7" w14:textId="77777777">
        <w:trPr>
          <w:trHeight w:val="510"/>
        </w:trPr>
        <w:tc>
          <w:tcPr>
            <w:tcW w:w="1875" w:type="dxa"/>
            <w:tcBorders>
              <w:top w:val="nil"/>
              <w:left w:val="nil"/>
              <w:bottom w:val="nil"/>
              <w:right w:val="nil"/>
            </w:tcBorders>
            <w:tcMar>
              <w:top w:w="100" w:type="dxa"/>
              <w:left w:w="100" w:type="dxa"/>
              <w:bottom w:w="100" w:type="dxa"/>
              <w:right w:w="100" w:type="dxa"/>
            </w:tcMar>
          </w:tcPr>
          <w:p w14:paraId="5DC90782"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Lifetime PTSD</w:t>
            </w:r>
          </w:p>
        </w:tc>
        <w:tc>
          <w:tcPr>
            <w:tcW w:w="1230" w:type="dxa"/>
            <w:tcBorders>
              <w:top w:val="nil"/>
              <w:left w:val="nil"/>
              <w:bottom w:val="nil"/>
              <w:right w:val="nil"/>
            </w:tcBorders>
            <w:tcMar>
              <w:top w:w="100" w:type="dxa"/>
              <w:left w:w="100" w:type="dxa"/>
              <w:bottom w:w="100" w:type="dxa"/>
              <w:right w:w="100" w:type="dxa"/>
            </w:tcMar>
          </w:tcPr>
          <w:p w14:paraId="04320156"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95.9423</w:t>
            </w:r>
          </w:p>
        </w:tc>
        <w:tc>
          <w:tcPr>
            <w:tcW w:w="1395" w:type="dxa"/>
            <w:tcBorders>
              <w:top w:val="nil"/>
              <w:left w:val="nil"/>
              <w:bottom w:val="nil"/>
              <w:right w:val="nil"/>
            </w:tcBorders>
            <w:tcMar>
              <w:top w:w="100" w:type="dxa"/>
              <w:left w:w="100" w:type="dxa"/>
              <w:bottom w:w="100" w:type="dxa"/>
              <w:right w:w="100" w:type="dxa"/>
            </w:tcMar>
          </w:tcPr>
          <w:p w14:paraId="0D6A046E"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1, 1492</w:t>
            </w:r>
          </w:p>
        </w:tc>
        <w:tc>
          <w:tcPr>
            <w:tcW w:w="2475" w:type="dxa"/>
            <w:tcBorders>
              <w:top w:val="nil"/>
              <w:left w:val="nil"/>
              <w:bottom w:val="nil"/>
              <w:right w:val="nil"/>
            </w:tcBorders>
            <w:tcMar>
              <w:top w:w="100" w:type="dxa"/>
              <w:left w:w="100" w:type="dxa"/>
              <w:bottom w:w="100" w:type="dxa"/>
              <w:right w:w="100" w:type="dxa"/>
            </w:tcMar>
          </w:tcPr>
          <w:p w14:paraId="3738AEAD"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&lt;0.001***</w:t>
            </w:r>
          </w:p>
        </w:tc>
      </w:tr>
      <w:tr w:rsidR="00D90040" w14:paraId="5C7E955A" w14:textId="77777777">
        <w:trPr>
          <w:trHeight w:val="1340"/>
        </w:trPr>
        <w:tc>
          <w:tcPr>
            <w:tcW w:w="1875" w:type="dxa"/>
            <w:tcBorders>
              <w:top w:val="nil"/>
              <w:left w:val="nil"/>
              <w:bottom w:val="single" w:sz="8" w:space="0" w:color="000000"/>
              <w:right w:val="nil"/>
            </w:tcBorders>
            <w:tcMar>
              <w:top w:w="100" w:type="dxa"/>
              <w:left w:w="100" w:type="dxa"/>
              <w:bottom w:w="100" w:type="dxa"/>
              <w:right w:w="100" w:type="dxa"/>
            </w:tcMar>
          </w:tcPr>
          <w:p w14:paraId="3FC89B69"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Lifetime PTSD*Lifetime SUDs</w:t>
            </w:r>
          </w:p>
        </w:tc>
        <w:tc>
          <w:tcPr>
            <w:tcW w:w="1230" w:type="dxa"/>
            <w:tcBorders>
              <w:top w:val="nil"/>
              <w:left w:val="nil"/>
              <w:bottom w:val="single" w:sz="8" w:space="0" w:color="000000"/>
              <w:right w:val="nil"/>
            </w:tcBorders>
            <w:tcMar>
              <w:top w:w="100" w:type="dxa"/>
              <w:left w:w="100" w:type="dxa"/>
              <w:bottom w:w="100" w:type="dxa"/>
              <w:right w:w="100" w:type="dxa"/>
            </w:tcMar>
          </w:tcPr>
          <w:p w14:paraId="0DFEEB35"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1.8359</w:t>
            </w:r>
          </w:p>
        </w:tc>
        <w:tc>
          <w:tcPr>
            <w:tcW w:w="1395" w:type="dxa"/>
            <w:tcBorders>
              <w:top w:val="nil"/>
              <w:left w:val="nil"/>
              <w:bottom w:val="single" w:sz="8" w:space="0" w:color="000000"/>
              <w:right w:val="nil"/>
            </w:tcBorders>
            <w:tcMar>
              <w:top w:w="100" w:type="dxa"/>
              <w:left w:w="100" w:type="dxa"/>
              <w:bottom w:w="100" w:type="dxa"/>
              <w:right w:w="100" w:type="dxa"/>
            </w:tcMar>
          </w:tcPr>
          <w:p w14:paraId="0791FE7D"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6, 1492</w:t>
            </w:r>
          </w:p>
        </w:tc>
        <w:tc>
          <w:tcPr>
            <w:tcW w:w="2475" w:type="dxa"/>
            <w:tcBorders>
              <w:top w:val="nil"/>
              <w:left w:val="nil"/>
              <w:bottom w:val="single" w:sz="8" w:space="0" w:color="000000"/>
              <w:right w:val="nil"/>
            </w:tcBorders>
            <w:tcMar>
              <w:top w:w="100" w:type="dxa"/>
              <w:left w:w="100" w:type="dxa"/>
              <w:bottom w:w="100" w:type="dxa"/>
              <w:right w:w="100" w:type="dxa"/>
            </w:tcMar>
          </w:tcPr>
          <w:p w14:paraId="06DCB7A9"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0.089</w:t>
            </w:r>
          </w:p>
        </w:tc>
      </w:tr>
    </w:tbl>
    <w:p w14:paraId="7F34780E"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p-value &lt;0.001***, &lt;0.01**, &lt;.05*</w:t>
      </w:r>
    </w:p>
    <w:p w14:paraId="1AEEB38A" w14:textId="77777777" w:rsidR="00D90040" w:rsidRDefault="00D90040">
      <w:pPr>
        <w:spacing w:line="240" w:lineRule="auto"/>
        <w:ind w:firstLine="720"/>
        <w:rPr>
          <w:rFonts w:ascii="Times New Roman" w:eastAsia="Times New Roman" w:hAnsi="Times New Roman" w:cs="Times New Roman"/>
          <w:sz w:val="24"/>
          <w:szCs w:val="24"/>
        </w:rPr>
      </w:pPr>
    </w:p>
    <w:p w14:paraId="526A71C0" w14:textId="77777777" w:rsidR="00D90040" w:rsidRDefault="00D90040">
      <w:pPr>
        <w:spacing w:after="200" w:line="240" w:lineRule="auto"/>
        <w:rPr>
          <w:rFonts w:ascii="Times New Roman" w:eastAsia="Times New Roman" w:hAnsi="Times New Roman" w:cs="Times New Roman"/>
          <w:sz w:val="24"/>
          <w:szCs w:val="24"/>
        </w:rPr>
      </w:pPr>
    </w:p>
    <w:p w14:paraId="589AAA91" w14:textId="77777777" w:rsidR="00D90040" w:rsidRDefault="00B46279">
      <w:pPr>
        <w:spacing w:after="20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3</w:t>
      </w:r>
    </w:p>
    <w:p w14:paraId="408E5205" w14:textId="77777777" w:rsidR="00D90040" w:rsidRDefault="00B46279">
      <w:pPr>
        <w:spacing w:after="200"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Effect of PTSD and Grouped Current SUDs on ASI</w:t>
      </w:r>
    </w:p>
    <w:tbl>
      <w:tblPr>
        <w:tblStyle w:val="a1"/>
        <w:tblW w:w="6975" w:type="dxa"/>
        <w:tblBorders>
          <w:top w:val="nil"/>
          <w:left w:val="nil"/>
          <w:bottom w:val="nil"/>
          <w:right w:val="nil"/>
          <w:insideH w:val="nil"/>
          <w:insideV w:val="nil"/>
        </w:tblBorders>
        <w:tblLayout w:type="fixed"/>
        <w:tblLook w:val="0600" w:firstRow="0" w:lastRow="0" w:firstColumn="0" w:lastColumn="0" w:noHBand="1" w:noVBand="1"/>
      </w:tblPr>
      <w:tblGrid>
        <w:gridCol w:w="1875"/>
        <w:gridCol w:w="1230"/>
        <w:gridCol w:w="1395"/>
        <w:gridCol w:w="2475"/>
      </w:tblGrid>
      <w:tr w:rsidR="00D90040" w14:paraId="026B4ED3" w14:textId="77777777">
        <w:trPr>
          <w:trHeight w:val="765"/>
        </w:trPr>
        <w:tc>
          <w:tcPr>
            <w:tcW w:w="1875" w:type="dxa"/>
            <w:tcBorders>
              <w:top w:val="single" w:sz="8" w:space="0" w:color="000000"/>
              <w:left w:val="nil"/>
              <w:bottom w:val="single" w:sz="8" w:space="0" w:color="000000"/>
              <w:right w:val="nil"/>
            </w:tcBorders>
            <w:tcMar>
              <w:top w:w="100" w:type="dxa"/>
              <w:left w:w="100" w:type="dxa"/>
              <w:bottom w:w="100" w:type="dxa"/>
              <w:right w:w="100" w:type="dxa"/>
            </w:tcMar>
          </w:tcPr>
          <w:p w14:paraId="2EED5F63"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Variable</w:t>
            </w:r>
          </w:p>
        </w:tc>
        <w:tc>
          <w:tcPr>
            <w:tcW w:w="1230" w:type="dxa"/>
            <w:tcBorders>
              <w:top w:val="single" w:sz="8" w:space="0" w:color="000000"/>
              <w:left w:val="nil"/>
              <w:bottom w:val="single" w:sz="8" w:space="0" w:color="000000"/>
              <w:right w:val="nil"/>
            </w:tcBorders>
            <w:tcMar>
              <w:top w:w="100" w:type="dxa"/>
              <w:left w:w="100" w:type="dxa"/>
              <w:bottom w:w="100" w:type="dxa"/>
              <w:right w:w="100" w:type="dxa"/>
            </w:tcMar>
          </w:tcPr>
          <w:p w14:paraId="63711D13" w14:textId="77777777" w:rsidR="00D90040" w:rsidRDefault="00B46279">
            <w:pP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F</w:t>
            </w:r>
          </w:p>
        </w:tc>
        <w:tc>
          <w:tcPr>
            <w:tcW w:w="1395" w:type="dxa"/>
            <w:tcBorders>
              <w:top w:val="single" w:sz="8" w:space="0" w:color="000000"/>
              <w:left w:val="nil"/>
              <w:bottom w:val="single" w:sz="8" w:space="0" w:color="000000"/>
              <w:right w:val="nil"/>
            </w:tcBorders>
            <w:tcMar>
              <w:top w:w="100" w:type="dxa"/>
              <w:left w:w="100" w:type="dxa"/>
              <w:bottom w:w="100" w:type="dxa"/>
              <w:right w:w="100" w:type="dxa"/>
            </w:tcMar>
          </w:tcPr>
          <w:p w14:paraId="05754004" w14:textId="77777777" w:rsidR="00D90040" w:rsidRDefault="00B46279">
            <w:pPr>
              <w:spacing w:line="240" w:lineRule="auto"/>
              <w:rPr>
                <w:rFonts w:ascii="Times New Roman" w:eastAsia="Times New Roman" w:hAnsi="Times New Roman" w:cs="Times New Roman"/>
                <w:i/>
                <w:sz w:val="24"/>
                <w:szCs w:val="24"/>
              </w:rPr>
            </w:pPr>
            <w:proofErr w:type="spellStart"/>
            <w:r>
              <w:rPr>
                <w:rFonts w:ascii="Times New Roman" w:eastAsia="Times New Roman" w:hAnsi="Times New Roman" w:cs="Times New Roman"/>
                <w:i/>
                <w:sz w:val="24"/>
                <w:szCs w:val="24"/>
              </w:rPr>
              <w:t>df</w:t>
            </w:r>
            <w:proofErr w:type="spellEnd"/>
          </w:p>
        </w:tc>
        <w:tc>
          <w:tcPr>
            <w:tcW w:w="2475" w:type="dxa"/>
            <w:tcBorders>
              <w:top w:val="single" w:sz="8" w:space="0" w:color="000000"/>
              <w:left w:val="nil"/>
              <w:bottom w:val="single" w:sz="8" w:space="0" w:color="000000"/>
              <w:right w:val="nil"/>
            </w:tcBorders>
            <w:tcMar>
              <w:top w:w="100" w:type="dxa"/>
              <w:left w:w="100" w:type="dxa"/>
              <w:bottom w:w="100" w:type="dxa"/>
              <w:right w:w="100" w:type="dxa"/>
            </w:tcMar>
          </w:tcPr>
          <w:p w14:paraId="7E259252"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Significance (p-value)</w:t>
            </w:r>
          </w:p>
        </w:tc>
      </w:tr>
      <w:tr w:rsidR="00D90040" w14:paraId="492DE1C8" w14:textId="77777777">
        <w:trPr>
          <w:trHeight w:val="705"/>
        </w:trPr>
        <w:tc>
          <w:tcPr>
            <w:tcW w:w="1875" w:type="dxa"/>
            <w:tcBorders>
              <w:top w:val="nil"/>
              <w:left w:val="nil"/>
              <w:bottom w:val="nil"/>
              <w:right w:val="nil"/>
            </w:tcBorders>
            <w:tcMar>
              <w:top w:w="100" w:type="dxa"/>
              <w:left w:w="100" w:type="dxa"/>
              <w:bottom w:w="100" w:type="dxa"/>
              <w:right w:w="100" w:type="dxa"/>
            </w:tcMar>
          </w:tcPr>
          <w:p w14:paraId="69BBB204"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Age</w:t>
            </w:r>
          </w:p>
        </w:tc>
        <w:tc>
          <w:tcPr>
            <w:tcW w:w="1230" w:type="dxa"/>
            <w:tcBorders>
              <w:top w:val="nil"/>
              <w:left w:val="nil"/>
              <w:bottom w:val="nil"/>
              <w:right w:val="nil"/>
            </w:tcBorders>
            <w:tcMar>
              <w:top w:w="100" w:type="dxa"/>
              <w:left w:w="100" w:type="dxa"/>
              <w:bottom w:w="100" w:type="dxa"/>
              <w:right w:w="100" w:type="dxa"/>
            </w:tcMar>
          </w:tcPr>
          <w:p w14:paraId="60A93A97"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13.6313</w:t>
            </w:r>
          </w:p>
        </w:tc>
        <w:tc>
          <w:tcPr>
            <w:tcW w:w="1395" w:type="dxa"/>
            <w:tcBorders>
              <w:top w:val="nil"/>
              <w:left w:val="nil"/>
              <w:bottom w:val="nil"/>
              <w:right w:val="nil"/>
            </w:tcBorders>
            <w:tcMar>
              <w:top w:w="100" w:type="dxa"/>
              <w:left w:w="100" w:type="dxa"/>
              <w:bottom w:w="100" w:type="dxa"/>
              <w:right w:w="100" w:type="dxa"/>
            </w:tcMar>
          </w:tcPr>
          <w:p w14:paraId="57399C5A"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1, 1502</w:t>
            </w:r>
          </w:p>
        </w:tc>
        <w:tc>
          <w:tcPr>
            <w:tcW w:w="2475" w:type="dxa"/>
            <w:tcBorders>
              <w:top w:val="nil"/>
              <w:left w:val="nil"/>
              <w:bottom w:val="nil"/>
              <w:right w:val="nil"/>
            </w:tcBorders>
            <w:tcMar>
              <w:top w:w="100" w:type="dxa"/>
              <w:left w:w="100" w:type="dxa"/>
              <w:bottom w:w="100" w:type="dxa"/>
              <w:right w:w="100" w:type="dxa"/>
            </w:tcMar>
          </w:tcPr>
          <w:p w14:paraId="58301F4E"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&lt;0.001***</w:t>
            </w:r>
          </w:p>
        </w:tc>
      </w:tr>
      <w:tr w:rsidR="00D90040" w14:paraId="69073029" w14:textId="77777777">
        <w:trPr>
          <w:trHeight w:val="780"/>
        </w:trPr>
        <w:tc>
          <w:tcPr>
            <w:tcW w:w="1875" w:type="dxa"/>
            <w:tcBorders>
              <w:top w:val="nil"/>
              <w:left w:val="nil"/>
              <w:bottom w:val="nil"/>
              <w:right w:val="nil"/>
            </w:tcBorders>
            <w:tcMar>
              <w:top w:w="100" w:type="dxa"/>
              <w:left w:w="100" w:type="dxa"/>
              <w:bottom w:w="100" w:type="dxa"/>
              <w:right w:w="100" w:type="dxa"/>
            </w:tcMar>
          </w:tcPr>
          <w:p w14:paraId="003B8576"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Gender</w:t>
            </w:r>
          </w:p>
        </w:tc>
        <w:tc>
          <w:tcPr>
            <w:tcW w:w="1230" w:type="dxa"/>
            <w:tcBorders>
              <w:top w:val="nil"/>
              <w:left w:val="nil"/>
              <w:bottom w:val="nil"/>
              <w:right w:val="nil"/>
            </w:tcBorders>
            <w:tcMar>
              <w:top w:w="100" w:type="dxa"/>
              <w:left w:w="100" w:type="dxa"/>
              <w:bottom w:w="100" w:type="dxa"/>
              <w:right w:w="100" w:type="dxa"/>
            </w:tcMar>
          </w:tcPr>
          <w:p w14:paraId="067B9E24"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1.5134</w:t>
            </w:r>
          </w:p>
        </w:tc>
        <w:tc>
          <w:tcPr>
            <w:tcW w:w="1395" w:type="dxa"/>
            <w:tcBorders>
              <w:top w:val="nil"/>
              <w:left w:val="nil"/>
              <w:bottom w:val="nil"/>
              <w:right w:val="nil"/>
            </w:tcBorders>
            <w:tcMar>
              <w:top w:w="100" w:type="dxa"/>
              <w:left w:w="100" w:type="dxa"/>
              <w:bottom w:w="100" w:type="dxa"/>
              <w:right w:w="100" w:type="dxa"/>
            </w:tcMar>
          </w:tcPr>
          <w:p w14:paraId="4F6E8D3E"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1, 1502</w:t>
            </w:r>
          </w:p>
        </w:tc>
        <w:tc>
          <w:tcPr>
            <w:tcW w:w="2475" w:type="dxa"/>
            <w:tcBorders>
              <w:top w:val="nil"/>
              <w:left w:val="nil"/>
              <w:bottom w:val="nil"/>
              <w:right w:val="nil"/>
            </w:tcBorders>
            <w:tcMar>
              <w:top w:w="100" w:type="dxa"/>
              <w:left w:w="100" w:type="dxa"/>
              <w:bottom w:w="100" w:type="dxa"/>
              <w:right w:w="100" w:type="dxa"/>
            </w:tcMar>
          </w:tcPr>
          <w:p w14:paraId="5F2D5448"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0.22</w:t>
            </w:r>
          </w:p>
        </w:tc>
      </w:tr>
      <w:tr w:rsidR="00D90040" w14:paraId="1C37BCE2" w14:textId="77777777">
        <w:trPr>
          <w:trHeight w:val="750"/>
        </w:trPr>
        <w:tc>
          <w:tcPr>
            <w:tcW w:w="1875" w:type="dxa"/>
            <w:tcBorders>
              <w:top w:val="nil"/>
              <w:left w:val="nil"/>
              <w:bottom w:val="nil"/>
              <w:right w:val="nil"/>
            </w:tcBorders>
            <w:tcMar>
              <w:top w:w="100" w:type="dxa"/>
              <w:left w:w="100" w:type="dxa"/>
              <w:bottom w:w="100" w:type="dxa"/>
              <w:right w:w="100" w:type="dxa"/>
            </w:tcMar>
          </w:tcPr>
          <w:p w14:paraId="53CF8536"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Income</w:t>
            </w:r>
          </w:p>
        </w:tc>
        <w:tc>
          <w:tcPr>
            <w:tcW w:w="1230" w:type="dxa"/>
            <w:tcBorders>
              <w:top w:val="nil"/>
              <w:left w:val="nil"/>
              <w:bottom w:val="nil"/>
              <w:right w:val="nil"/>
            </w:tcBorders>
            <w:tcMar>
              <w:top w:w="100" w:type="dxa"/>
              <w:left w:w="100" w:type="dxa"/>
              <w:bottom w:w="100" w:type="dxa"/>
              <w:right w:w="100" w:type="dxa"/>
            </w:tcMar>
          </w:tcPr>
          <w:p w14:paraId="5B364D2B"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6.0104</w:t>
            </w:r>
          </w:p>
        </w:tc>
        <w:tc>
          <w:tcPr>
            <w:tcW w:w="1395" w:type="dxa"/>
            <w:tcBorders>
              <w:top w:val="nil"/>
              <w:left w:val="nil"/>
              <w:bottom w:val="nil"/>
              <w:right w:val="nil"/>
            </w:tcBorders>
            <w:tcMar>
              <w:top w:w="100" w:type="dxa"/>
              <w:left w:w="100" w:type="dxa"/>
              <w:bottom w:w="100" w:type="dxa"/>
              <w:right w:w="100" w:type="dxa"/>
            </w:tcMar>
          </w:tcPr>
          <w:p w14:paraId="4D3B61AF"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1, 1502</w:t>
            </w:r>
          </w:p>
        </w:tc>
        <w:tc>
          <w:tcPr>
            <w:tcW w:w="2475" w:type="dxa"/>
            <w:tcBorders>
              <w:top w:val="nil"/>
              <w:left w:val="nil"/>
              <w:bottom w:val="nil"/>
              <w:right w:val="nil"/>
            </w:tcBorders>
            <w:tcMar>
              <w:top w:w="100" w:type="dxa"/>
              <w:left w:w="100" w:type="dxa"/>
              <w:bottom w:w="100" w:type="dxa"/>
              <w:right w:w="100" w:type="dxa"/>
            </w:tcMar>
          </w:tcPr>
          <w:p w14:paraId="7A1F4219"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0.014*</w:t>
            </w:r>
          </w:p>
        </w:tc>
      </w:tr>
      <w:tr w:rsidR="00D90040" w14:paraId="7B725C55" w14:textId="77777777">
        <w:trPr>
          <w:trHeight w:val="960"/>
        </w:trPr>
        <w:tc>
          <w:tcPr>
            <w:tcW w:w="1875" w:type="dxa"/>
            <w:tcBorders>
              <w:top w:val="nil"/>
              <w:left w:val="nil"/>
              <w:bottom w:val="nil"/>
              <w:right w:val="nil"/>
            </w:tcBorders>
            <w:tcMar>
              <w:top w:w="100" w:type="dxa"/>
              <w:left w:w="100" w:type="dxa"/>
              <w:bottom w:w="100" w:type="dxa"/>
              <w:right w:w="100" w:type="dxa"/>
            </w:tcMar>
          </w:tcPr>
          <w:p w14:paraId="2155F110"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Grouped Current SUDs</w:t>
            </w:r>
          </w:p>
        </w:tc>
        <w:tc>
          <w:tcPr>
            <w:tcW w:w="1230" w:type="dxa"/>
            <w:tcBorders>
              <w:top w:val="nil"/>
              <w:left w:val="nil"/>
              <w:bottom w:val="nil"/>
              <w:right w:val="nil"/>
            </w:tcBorders>
            <w:tcMar>
              <w:top w:w="100" w:type="dxa"/>
              <w:left w:w="100" w:type="dxa"/>
              <w:bottom w:w="100" w:type="dxa"/>
              <w:right w:w="100" w:type="dxa"/>
            </w:tcMar>
          </w:tcPr>
          <w:p w14:paraId="790DA6CF"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35.0741</w:t>
            </w:r>
          </w:p>
        </w:tc>
        <w:tc>
          <w:tcPr>
            <w:tcW w:w="1395" w:type="dxa"/>
            <w:tcBorders>
              <w:top w:val="nil"/>
              <w:left w:val="nil"/>
              <w:bottom w:val="nil"/>
              <w:right w:val="nil"/>
            </w:tcBorders>
            <w:tcMar>
              <w:top w:w="100" w:type="dxa"/>
              <w:left w:w="100" w:type="dxa"/>
              <w:bottom w:w="100" w:type="dxa"/>
              <w:right w:w="100" w:type="dxa"/>
            </w:tcMar>
          </w:tcPr>
          <w:p w14:paraId="1BC555A7"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2, 1502</w:t>
            </w:r>
          </w:p>
        </w:tc>
        <w:tc>
          <w:tcPr>
            <w:tcW w:w="2475" w:type="dxa"/>
            <w:tcBorders>
              <w:top w:val="nil"/>
              <w:left w:val="nil"/>
              <w:bottom w:val="nil"/>
              <w:right w:val="nil"/>
            </w:tcBorders>
            <w:tcMar>
              <w:top w:w="100" w:type="dxa"/>
              <w:left w:w="100" w:type="dxa"/>
              <w:bottom w:w="100" w:type="dxa"/>
              <w:right w:w="100" w:type="dxa"/>
            </w:tcMar>
          </w:tcPr>
          <w:p w14:paraId="7C73A448"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&lt;0.001***</w:t>
            </w:r>
          </w:p>
        </w:tc>
      </w:tr>
      <w:tr w:rsidR="00D90040" w14:paraId="70DA8BCB" w14:textId="77777777">
        <w:trPr>
          <w:trHeight w:val="795"/>
        </w:trPr>
        <w:tc>
          <w:tcPr>
            <w:tcW w:w="1875" w:type="dxa"/>
            <w:tcBorders>
              <w:top w:val="nil"/>
              <w:left w:val="nil"/>
              <w:bottom w:val="nil"/>
              <w:right w:val="nil"/>
            </w:tcBorders>
            <w:tcMar>
              <w:top w:w="100" w:type="dxa"/>
              <w:left w:w="100" w:type="dxa"/>
              <w:bottom w:w="100" w:type="dxa"/>
              <w:right w:w="100" w:type="dxa"/>
            </w:tcMar>
          </w:tcPr>
          <w:p w14:paraId="6D4D2495"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Lifetime PTSD</w:t>
            </w:r>
          </w:p>
        </w:tc>
        <w:tc>
          <w:tcPr>
            <w:tcW w:w="1230" w:type="dxa"/>
            <w:tcBorders>
              <w:top w:val="nil"/>
              <w:left w:val="nil"/>
              <w:bottom w:val="nil"/>
              <w:right w:val="nil"/>
            </w:tcBorders>
            <w:tcMar>
              <w:top w:w="100" w:type="dxa"/>
              <w:left w:w="100" w:type="dxa"/>
              <w:bottom w:w="100" w:type="dxa"/>
              <w:right w:w="100" w:type="dxa"/>
            </w:tcMar>
          </w:tcPr>
          <w:p w14:paraId="43816423"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105.2535</w:t>
            </w:r>
          </w:p>
        </w:tc>
        <w:tc>
          <w:tcPr>
            <w:tcW w:w="1395" w:type="dxa"/>
            <w:tcBorders>
              <w:top w:val="nil"/>
              <w:left w:val="nil"/>
              <w:bottom w:val="nil"/>
              <w:right w:val="nil"/>
            </w:tcBorders>
            <w:tcMar>
              <w:top w:w="100" w:type="dxa"/>
              <w:left w:w="100" w:type="dxa"/>
              <w:bottom w:w="100" w:type="dxa"/>
              <w:right w:w="100" w:type="dxa"/>
            </w:tcMar>
          </w:tcPr>
          <w:p w14:paraId="55EB5DDE"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1, 1502</w:t>
            </w:r>
          </w:p>
        </w:tc>
        <w:tc>
          <w:tcPr>
            <w:tcW w:w="2475" w:type="dxa"/>
            <w:tcBorders>
              <w:top w:val="nil"/>
              <w:left w:val="nil"/>
              <w:bottom w:val="nil"/>
              <w:right w:val="nil"/>
            </w:tcBorders>
            <w:tcMar>
              <w:top w:w="100" w:type="dxa"/>
              <w:left w:w="100" w:type="dxa"/>
              <w:bottom w:w="100" w:type="dxa"/>
              <w:right w:w="100" w:type="dxa"/>
            </w:tcMar>
          </w:tcPr>
          <w:p w14:paraId="417CEE9B"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w:t>
            </w:r>
            <w:r>
              <w:rPr>
                <w:rFonts w:ascii="Times New Roman" w:eastAsia="Times New Roman" w:hAnsi="Times New Roman" w:cs="Times New Roman"/>
                <w:sz w:val="24"/>
                <w:szCs w:val="24"/>
              </w:rPr>
              <w:t>0.001***</w:t>
            </w:r>
          </w:p>
        </w:tc>
      </w:tr>
      <w:tr w:rsidR="00D90040" w14:paraId="19BF8221" w14:textId="77777777">
        <w:trPr>
          <w:trHeight w:val="1340"/>
        </w:trPr>
        <w:tc>
          <w:tcPr>
            <w:tcW w:w="1875" w:type="dxa"/>
            <w:tcBorders>
              <w:top w:val="nil"/>
              <w:left w:val="nil"/>
              <w:bottom w:val="single" w:sz="8" w:space="0" w:color="000000"/>
              <w:right w:val="nil"/>
            </w:tcBorders>
            <w:tcMar>
              <w:top w:w="100" w:type="dxa"/>
              <w:left w:w="100" w:type="dxa"/>
              <w:bottom w:w="100" w:type="dxa"/>
              <w:right w:w="100" w:type="dxa"/>
            </w:tcMar>
          </w:tcPr>
          <w:p w14:paraId="0B31E2A3"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Lifetime PTSD*Grouped Current SUDs</w:t>
            </w:r>
          </w:p>
        </w:tc>
        <w:tc>
          <w:tcPr>
            <w:tcW w:w="1230" w:type="dxa"/>
            <w:tcBorders>
              <w:top w:val="nil"/>
              <w:left w:val="nil"/>
              <w:bottom w:val="single" w:sz="8" w:space="0" w:color="000000"/>
              <w:right w:val="nil"/>
            </w:tcBorders>
            <w:tcMar>
              <w:top w:w="100" w:type="dxa"/>
              <w:left w:w="100" w:type="dxa"/>
              <w:bottom w:w="100" w:type="dxa"/>
              <w:right w:w="100" w:type="dxa"/>
            </w:tcMar>
          </w:tcPr>
          <w:p w14:paraId="13D02C4F"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4.9834</w:t>
            </w:r>
          </w:p>
        </w:tc>
        <w:tc>
          <w:tcPr>
            <w:tcW w:w="1395" w:type="dxa"/>
            <w:tcBorders>
              <w:top w:val="nil"/>
              <w:left w:val="nil"/>
              <w:bottom w:val="single" w:sz="8" w:space="0" w:color="000000"/>
              <w:right w:val="nil"/>
            </w:tcBorders>
            <w:tcMar>
              <w:top w:w="100" w:type="dxa"/>
              <w:left w:w="100" w:type="dxa"/>
              <w:bottom w:w="100" w:type="dxa"/>
              <w:right w:w="100" w:type="dxa"/>
            </w:tcMar>
          </w:tcPr>
          <w:p w14:paraId="344082CE"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2, 1502</w:t>
            </w:r>
          </w:p>
        </w:tc>
        <w:tc>
          <w:tcPr>
            <w:tcW w:w="2475" w:type="dxa"/>
            <w:tcBorders>
              <w:top w:val="nil"/>
              <w:left w:val="nil"/>
              <w:bottom w:val="single" w:sz="8" w:space="0" w:color="000000"/>
              <w:right w:val="nil"/>
            </w:tcBorders>
            <w:tcMar>
              <w:top w:w="100" w:type="dxa"/>
              <w:left w:w="100" w:type="dxa"/>
              <w:bottom w:w="100" w:type="dxa"/>
              <w:right w:w="100" w:type="dxa"/>
            </w:tcMar>
          </w:tcPr>
          <w:p w14:paraId="29E6E3D7"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0.0069**</w:t>
            </w:r>
          </w:p>
        </w:tc>
      </w:tr>
    </w:tbl>
    <w:p w14:paraId="62EFE95A"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p-value &lt;0.001***, &lt;0.01**, &lt;.05*</w:t>
      </w:r>
    </w:p>
    <w:p w14:paraId="28D818D5" w14:textId="77777777" w:rsidR="00D90040" w:rsidRDefault="00D90040">
      <w:pPr>
        <w:spacing w:line="240" w:lineRule="auto"/>
        <w:rPr>
          <w:rFonts w:ascii="Times New Roman" w:eastAsia="Times New Roman" w:hAnsi="Times New Roman" w:cs="Times New Roman"/>
          <w:sz w:val="24"/>
          <w:szCs w:val="24"/>
        </w:rPr>
      </w:pPr>
    </w:p>
    <w:p w14:paraId="053D75E1" w14:textId="77777777" w:rsidR="00D90040" w:rsidRDefault="00D90040">
      <w:pPr>
        <w:spacing w:line="240" w:lineRule="auto"/>
        <w:rPr>
          <w:rFonts w:ascii="Times New Roman" w:eastAsia="Times New Roman" w:hAnsi="Times New Roman" w:cs="Times New Roman"/>
          <w:b/>
          <w:sz w:val="24"/>
          <w:szCs w:val="24"/>
        </w:rPr>
      </w:pPr>
    </w:p>
    <w:p w14:paraId="21DFEBB1" w14:textId="77777777" w:rsidR="00D90040" w:rsidRDefault="00B46279">
      <w:pPr>
        <w:spacing w:after="20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4</w:t>
      </w:r>
    </w:p>
    <w:p w14:paraId="2661AC8F" w14:textId="77777777" w:rsidR="00D90040" w:rsidRDefault="00B46279">
      <w:pPr>
        <w:spacing w:after="200" w:line="240" w:lineRule="auto"/>
        <w:rPr>
          <w:rFonts w:ascii="Times New Roman" w:eastAsia="Times New Roman" w:hAnsi="Times New Roman" w:cs="Times New Roman"/>
          <w:b/>
          <w:sz w:val="24"/>
          <w:szCs w:val="24"/>
        </w:rPr>
      </w:pPr>
      <w:r>
        <w:rPr>
          <w:rFonts w:ascii="Times New Roman" w:eastAsia="Times New Roman" w:hAnsi="Times New Roman" w:cs="Times New Roman"/>
          <w:i/>
          <w:sz w:val="24"/>
          <w:szCs w:val="24"/>
        </w:rPr>
        <w:t>Estimated Marginal Means for Interaction of PTSD and Grouped Current SUDs on ASI</w:t>
      </w:r>
    </w:p>
    <w:tbl>
      <w:tblPr>
        <w:tblStyle w:val="a2"/>
        <w:tblW w:w="7785" w:type="dxa"/>
        <w:tblBorders>
          <w:top w:val="nil"/>
          <w:left w:val="nil"/>
          <w:bottom w:val="nil"/>
          <w:right w:val="nil"/>
          <w:insideH w:val="nil"/>
          <w:insideV w:val="nil"/>
        </w:tblBorders>
        <w:tblLayout w:type="fixed"/>
        <w:tblLook w:val="0600" w:firstRow="0" w:lastRow="0" w:firstColumn="0" w:lastColumn="0" w:noHBand="1" w:noVBand="1"/>
      </w:tblPr>
      <w:tblGrid>
        <w:gridCol w:w="1770"/>
        <w:gridCol w:w="1740"/>
        <w:gridCol w:w="1290"/>
        <w:gridCol w:w="1290"/>
        <w:gridCol w:w="1695"/>
      </w:tblGrid>
      <w:tr w:rsidR="00D90040" w14:paraId="1848AC54" w14:textId="77777777">
        <w:trPr>
          <w:trHeight w:val="1060"/>
        </w:trPr>
        <w:tc>
          <w:tcPr>
            <w:tcW w:w="1770" w:type="dxa"/>
            <w:tcBorders>
              <w:top w:val="single" w:sz="8" w:space="0" w:color="000000"/>
              <w:left w:val="nil"/>
              <w:bottom w:val="single" w:sz="8" w:space="0" w:color="000000"/>
              <w:right w:val="nil"/>
            </w:tcBorders>
            <w:tcMar>
              <w:top w:w="20" w:type="dxa"/>
              <w:left w:w="20" w:type="dxa"/>
              <w:bottom w:w="100" w:type="dxa"/>
              <w:right w:w="20" w:type="dxa"/>
            </w:tcMar>
          </w:tcPr>
          <w:p w14:paraId="0C25B9D4" w14:textId="77777777" w:rsidR="00D90040" w:rsidRDefault="00B46279">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Grouped SUDs</w:t>
            </w:r>
          </w:p>
        </w:tc>
        <w:tc>
          <w:tcPr>
            <w:tcW w:w="1740" w:type="dxa"/>
            <w:tcBorders>
              <w:top w:val="single" w:sz="8" w:space="0" w:color="000000"/>
              <w:left w:val="nil"/>
              <w:bottom w:val="single" w:sz="8" w:space="0" w:color="000000"/>
              <w:right w:val="nil"/>
            </w:tcBorders>
            <w:tcMar>
              <w:top w:w="20" w:type="dxa"/>
              <w:left w:w="20" w:type="dxa"/>
              <w:bottom w:w="100" w:type="dxa"/>
              <w:right w:w="20" w:type="dxa"/>
            </w:tcMar>
          </w:tcPr>
          <w:p w14:paraId="1E569F42" w14:textId="77777777" w:rsidR="00D90040" w:rsidRDefault="00B46279">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Lifetime PTSD</w:t>
            </w:r>
          </w:p>
        </w:tc>
        <w:tc>
          <w:tcPr>
            <w:tcW w:w="1290" w:type="dxa"/>
            <w:tcBorders>
              <w:top w:val="single" w:sz="8" w:space="0" w:color="000000"/>
              <w:left w:val="nil"/>
              <w:bottom w:val="single" w:sz="8" w:space="0" w:color="000000"/>
              <w:right w:val="nil"/>
            </w:tcBorders>
            <w:tcMar>
              <w:top w:w="20" w:type="dxa"/>
              <w:left w:w="20" w:type="dxa"/>
              <w:bottom w:w="100" w:type="dxa"/>
              <w:right w:w="20" w:type="dxa"/>
            </w:tcMar>
          </w:tcPr>
          <w:p w14:paraId="7C286504" w14:textId="77777777" w:rsidR="00D90040" w:rsidRDefault="00B46279">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Mean ASI</w:t>
            </w:r>
          </w:p>
        </w:tc>
        <w:tc>
          <w:tcPr>
            <w:tcW w:w="1290" w:type="dxa"/>
            <w:tcBorders>
              <w:top w:val="single" w:sz="8" w:space="0" w:color="000000"/>
              <w:left w:val="nil"/>
              <w:bottom w:val="single" w:sz="8" w:space="0" w:color="000000"/>
              <w:right w:val="nil"/>
            </w:tcBorders>
            <w:tcMar>
              <w:top w:w="20" w:type="dxa"/>
              <w:left w:w="20" w:type="dxa"/>
              <w:bottom w:w="100" w:type="dxa"/>
              <w:right w:w="20" w:type="dxa"/>
            </w:tcMar>
          </w:tcPr>
          <w:p w14:paraId="34B83394" w14:textId="77777777" w:rsidR="00D90040" w:rsidRDefault="00B46279">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Std. Error</w:t>
            </w:r>
          </w:p>
        </w:tc>
        <w:tc>
          <w:tcPr>
            <w:tcW w:w="1695" w:type="dxa"/>
            <w:tcBorders>
              <w:top w:val="single" w:sz="8" w:space="0" w:color="000000"/>
              <w:left w:val="nil"/>
              <w:bottom w:val="single" w:sz="8" w:space="0" w:color="000000"/>
              <w:right w:val="nil"/>
            </w:tcBorders>
            <w:tcMar>
              <w:top w:w="20" w:type="dxa"/>
              <w:left w:w="20" w:type="dxa"/>
              <w:bottom w:w="100" w:type="dxa"/>
              <w:right w:w="20" w:type="dxa"/>
            </w:tcMar>
          </w:tcPr>
          <w:p w14:paraId="199F889D" w14:textId="77777777" w:rsidR="00D90040" w:rsidRDefault="00B46279">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95% Confidence Interval</w:t>
            </w:r>
          </w:p>
        </w:tc>
      </w:tr>
      <w:tr w:rsidR="00D90040" w14:paraId="5CA2AB59" w14:textId="77777777">
        <w:trPr>
          <w:trHeight w:val="745"/>
        </w:trPr>
        <w:tc>
          <w:tcPr>
            <w:tcW w:w="1770" w:type="dxa"/>
            <w:vMerge w:val="restart"/>
            <w:tcBorders>
              <w:top w:val="single" w:sz="8" w:space="0" w:color="000000"/>
              <w:left w:val="nil"/>
              <w:bottom w:val="nil"/>
              <w:right w:val="nil"/>
            </w:tcBorders>
            <w:tcMar>
              <w:top w:w="20" w:type="dxa"/>
              <w:left w:w="20" w:type="dxa"/>
              <w:bottom w:w="100" w:type="dxa"/>
              <w:right w:w="20" w:type="dxa"/>
            </w:tcMar>
          </w:tcPr>
          <w:p w14:paraId="3707DC52" w14:textId="77777777" w:rsidR="00D90040" w:rsidRDefault="00B46279">
            <w:pPr>
              <w:spacing w:after="20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No Substance Dependence</w:t>
            </w:r>
          </w:p>
        </w:tc>
        <w:tc>
          <w:tcPr>
            <w:tcW w:w="1740" w:type="dxa"/>
            <w:tcBorders>
              <w:top w:val="single" w:sz="8" w:space="0" w:color="000000"/>
              <w:left w:val="nil"/>
              <w:bottom w:val="nil"/>
              <w:right w:val="nil"/>
            </w:tcBorders>
            <w:tcMar>
              <w:top w:w="20" w:type="dxa"/>
              <w:left w:w="20" w:type="dxa"/>
              <w:bottom w:w="100" w:type="dxa"/>
              <w:right w:w="20" w:type="dxa"/>
            </w:tcMar>
          </w:tcPr>
          <w:p w14:paraId="439C0C68" w14:textId="77777777" w:rsidR="00D90040" w:rsidRDefault="00B46279">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Absent</w:t>
            </w:r>
          </w:p>
        </w:tc>
        <w:tc>
          <w:tcPr>
            <w:tcW w:w="1290" w:type="dxa"/>
            <w:tcBorders>
              <w:top w:val="single" w:sz="8" w:space="0" w:color="000000"/>
              <w:left w:val="nil"/>
              <w:bottom w:val="nil"/>
              <w:right w:val="nil"/>
            </w:tcBorders>
            <w:tcMar>
              <w:top w:w="20" w:type="dxa"/>
              <w:left w:w="20" w:type="dxa"/>
              <w:bottom w:w="100" w:type="dxa"/>
              <w:right w:w="20" w:type="dxa"/>
            </w:tcMar>
          </w:tcPr>
          <w:p w14:paraId="5494CAB8" w14:textId="77777777" w:rsidR="00D90040" w:rsidRDefault="00B46279">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14.53</w:t>
            </w:r>
          </w:p>
        </w:tc>
        <w:tc>
          <w:tcPr>
            <w:tcW w:w="1290" w:type="dxa"/>
            <w:tcBorders>
              <w:top w:val="single" w:sz="8" w:space="0" w:color="000000"/>
              <w:left w:val="nil"/>
              <w:bottom w:val="nil"/>
              <w:right w:val="nil"/>
            </w:tcBorders>
            <w:tcMar>
              <w:top w:w="20" w:type="dxa"/>
              <w:left w:w="20" w:type="dxa"/>
              <w:bottom w:w="100" w:type="dxa"/>
              <w:right w:w="20" w:type="dxa"/>
            </w:tcMar>
          </w:tcPr>
          <w:p w14:paraId="6B31E5FC" w14:textId="77777777" w:rsidR="00D90040" w:rsidRDefault="00B46279">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0.846</w:t>
            </w:r>
          </w:p>
        </w:tc>
        <w:tc>
          <w:tcPr>
            <w:tcW w:w="1695" w:type="dxa"/>
            <w:tcBorders>
              <w:top w:val="single" w:sz="8" w:space="0" w:color="000000"/>
              <w:left w:val="nil"/>
              <w:bottom w:val="nil"/>
              <w:right w:val="nil"/>
            </w:tcBorders>
            <w:tcMar>
              <w:top w:w="20" w:type="dxa"/>
              <w:left w:w="20" w:type="dxa"/>
              <w:bottom w:w="100" w:type="dxa"/>
              <w:right w:w="20" w:type="dxa"/>
            </w:tcMar>
          </w:tcPr>
          <w:p w14:paraId="7450D906" w14:textId="77777777" w:rsidR="00D90040" w:rsidRDefault="00B46279">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12.871-16.189</w:t>
            </w:r>
          </w:p>
        </w:tc>
      </w:tr>
      <w:tr w:rsidR="00D90040" w14:paraId="46F45669" w14:textId="77777777">
        <w:trPr>
          <w:trHeight w:val="745"/>
        </w:trPr>
        <w:tc>
          <w:tcPr>
            <w:tcW w:w="1770" w:type="dxa"/>
            <w:vMerge/>
            <w:tcBorders>
              <w:bottom w:val="nil"/>
              <w:right w:val="nil"/>
            </w:tcBorders>
            <w:shd w:val="clear" w:color="auto" w:fill="auto"/>
            <w:tcMar>
              <w:top w:w="100" w:type="dxa"/>
              <w:left w:w="100" w:type="dxa"/>
              <w:bottom w:w="100" w:type="dxa"/>
              <w:right w:w="100" w:type="dxa"/>
            </w:tcMar>
          </w:tcPr>
          <w:p w14:paraId="67944C06" w14:textId="77777777" w:rsidR="00D90040" w:rsidRDefault="00D90040">
            <w:pPr>
              <w:widowControl w:val="0"/>
              <w:pBdr>
                <w:top w:val="nil"/>
                <w:left w:val="nil"/>
                <w:bottom w:val="nil"/>
                <w:right w:val="nil"/>
                <w:between w:val="nil"/>
              </w:pBdr>
              <w:rPr>
                <w:rFonts w:ascii="Times New Roman" w:eastAsia="Times New Roman" w:hAnsi="Times New Roman" w:cs="Times New Roman"/>
                <w:b/>
                <w:sz w:val="24"/>
                <w:szCs w:val="24"/>
              </w:rPr>
            </w:pPr>
          </w:p>
        </w:tc>
        <w:tc>
          <w:tcPr>
            <w:tcW w:w="1740" w:type="dxa"/>
            <w:tcBorders>
              <w:top w:val="nil"/>
              <w:left w:val="nil"/>
              <w:bottom w:val="nil"/>
              <w:right w:val="nil"/>
            </w:tcBorders>
            <w:shd w:val="clear" w:color="auto" w:fill="auto"/>
            <w:tcMar>
              <w:top w:w="20" w:type="dxa"/>
              <w:left w:w="20" w:type="dxa"/>
              <w:bottom w:w="100" w:type="dxa"/>
              <w:right w:w="20" w:type="dxa"/>
            </w:tcMar>
          </w:tcPr>
          <w:p w14:paraId="3F356217" w14:textId="77777777" w:rsidR="00D90040" w:rsidRDefault="00B46279">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Present</w:t>
            </w:r>
          </w:p>
        </w:tc>
        <w:tc>
          <w:tcPr>
            <w:tcW w:w="1290" w:type="dxa"/>
            <w:tcBorders>
              <w:top w:val="nil"/>
              <w:left w:val="nil"/>
              <w:bottom w:val="nil"/>
              <w:right w:val="nil"/>
            </w:tcBorders>
            <w:shd w:val="clear" w:color="auto" w:fill="auto"/>
            <w:tcMar>
              <w:top w:w="20" w:type="dxa"/>
              <w:left w:w="20" w:type="dxa"/>
              <w:bottom w:w="100" w:type="dxa"/>
              <w:right w:w="20" w:type="dxa"/>
            </w:tcMar>
          </w:tcPr>
          <w:p w14:paraId="7E00D302" w14:textId="77777777" w:rsidR="00D90040" w:rsidRDefault="00B46279">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30.268</w:t>
            </w:r>
          </w:p>
        </w:tc>
        <w:tc>
          <w:tcPr>
            <w:tcW w:w="1290" w:type="dxa"/>
            <w:tcBorders>
              <w:top w:val="nil"/>
              <w:left w:val="nil"/>
              <w:bottom w:val="nil"/>
              <w:right w:val="nil"/>
            </w:tcBorders>
            <w:shd w:val="clear" w:color="auto" w:fill="auto"/>
            <w:tcMar>
              <w:top w:w="20" w:type="dxa"/>
              <w:left w:w="20" w:type="dxa"/>
              <w:bottom w:w="100" w:type="dxa"/>
              <w:right w:w="20" w:type="dxa"/>
            </w:tcMar>
          </w:tcPr>
          <w:p w14:paraId="00ABFEF3" w14:textId="77777777" w:rsidR="00D90040" w:rsidRDefault="00B46279">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2.058</w:t>
            </w:r>
          </w:p>
        </w:tc>
        <w:tc>
          <w:tcPr>
            <w:tcW w:w="1695" w:type="dxa"/>
            <w:tcBorders>
              <w:top w:val="nil"/>
              <w:left w:val="nil"/>
              <w:bottom w:val="nil"/>
              <w:right w:val="nil"/>
            </w:tcBorders>
            <w:shd w:val="clear" w:color="auto" w:fill="auto"/>
            <w:tcMar>
              <w:top w:w="20" w:type="dxa"/>
              <w:left w:w="20" w:type="dxa"/>
              <w:bottom w:w="100" w:type="dxa"/>
              <w:right w:w="20" w:type="dxa"/>
            </w:tcMar>
          </w:tcPr>
          <w:p w14:paraId="61605045" w14:textId="77777777" w:rsidR="00D90040" w:rsidRDefault="00B46279">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26.244-34.304</w:t>
            </w:r>
          </w:p>
        </w:tc>
      </w:tr>
      <w:tr w:rsidR="00D90040" w14:paraId="685347EA" w14:textId="77777777">
        <w:trPr>
          <w:trHeight w:val="745"/>
        </w:trPr>
        <w:tc>
          <w:tcPr>
            <w:tcW w:w="1770" w:type="dxa"/>
            <w:vMerge w:val="restart"/>
            <w:tcBorders>
              <w:top w:val="nil"/>
              <w:left w:val="nil"/>
              <w:bottom w:val="nil"/>
              <w:right w:val="nil"/>
            </w:tcBorders>
            <w:shd w:val="clear" w:color="auto" w:fill="auto"/>
            <w:tcMar>
              <w:top w:w="20" w:type="dxa"/>
              <w:left w:w="20" w:type="dxa"/>
              <w:bottom w:w="100" w:type="dxa"/>
              <w:right w:w="20" w:type="dxa"/>
            </w:tcMar>
          </w:tcPr>
          <w:p w14:paraId="26A3DC4D" w14:textId="77777777" w:rsidR="00D90040" w:rsidRDefault="00B46279">
            <w:pPr>
              <w:spacing w:after="20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Single Substance Dependence</w:t>
            </w:r>
          </w:p>
        </w:tc>
        <w:tc>
          <w:tcPr>
            <w:tcW w:w="1740" w:type="dxa"/>
            <w:tcBorders>
              <w:top w:val="nil"/>
              <w:left w:val="nil"/>
              <w:bottom w:val="nil"/>
              <w:right w:val="nil"/>
            </w:tcBorders>
            <w:shd w:val="clear" w:color="auto" w:fill="auto"/>
            <w:tcMar>
              <w:top w:w="20" w:type="dxa"/>
              <w:left w:w="20" w:type="dxa"/>
              <w:bottom w:w="100" w:type="dxa"/>
              <w:right w:w="20" w:type="dxa"/>
            </w:tcMar>
          </w:tcPr>
          <w:p w14:paraId="77474DDC" w14:textId="77777777" w:rsidR="00D90040" w:rsidRDefault="00B46279">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Absent</w:t>
            </w:r>
          </w:p>
        </w:tc>
        <w:tc>
          <w:tcPr>
            <w:tcW w:w="1290" w:type="dxa"/>
            <w:tcBorders>
              <w:top w:val="nil"/>
              <w:left w:val="nil"/>
              <w:bottom w:val="nil"/>
              <w:right w:val="nil"/>
            </w:tcBorders>
            <w:shd w:val="clear" w:color="auto" w:fill="auto"/>
            <w:tcMar>
              <w:top w:w="20" w:type="dxa"/>
              <w:left w:w="20" w:type="dxa"/>
              <w:bottom w:w="100" w:type="dxa"/>
              <w:right w:w="20" w:type="dxa"/>
            </w:tcMar>
          </w:tcPr>
          <w:p w14:paraId="0582F39A" w14:textId="77777777" w:rsidR="00D90040" w:rsidRDefault="00B46279">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19.985</w:t>
            </w:r>
          </w:p>
        </w:tc>
        <w:tc>
          <w:tcPr>
            <w:tcW w:w="1290" w:type="dxa"/>
            <w:tcBorders>
              <w:top w:val="nil"/>
              <w:left w:val="nil"/>
              <w:bottom w:val="nil"/>
              <w:right w:val="nil"/>
            </w:tcBorders>
            <w:shd w:val="clear" w:color="auto" w:fill="auto"/>
            <w:tcMar>
              <w:top w:w="20" w:type="dxa"/>
              <w:left w:w="20" w:type="dxa"/>
              <w:bottom w:w="100" w:type="dxa"/>
              <w:right w:w="20" w:type="dxa"/>
            </w:tcMar>
          </w:tcPr>
          <w:p w14:paraId="0BC80608" w14:textId="77777777" w:rsidR="00D90040" w:rsidRDefault="00B46279">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0.688</w:t>
            </w:r>
          </w:p>
        </w:tc>
        <w:tc>
          <w:tcPr>
            <w:tcW w:w="1695" w:type="dxa"/>
            <w:tcBorders>
              <w:top w:val="nil"/>
              <w:left w:val="nil"/>
              <w:bottom w:val="nil"/>
              <w:right w:val="nil"/>
            </w:tcBorders>
            <w:shd w:val="clear" w:color="auto" w:fill="auto"/>
            <w:tcMar>
              <w:top w:w="20" w:type="dxa"/>
              <w:left w:w="20" w:type="dxa"/>
              <w:bottom w:w="100" w:type="dxa"/>
              <w:right w:w="20" w:type="dxa"/>
            </w:tcMar>
          </w:tcPr>
          <w:p w14:paraId="139C2565" w14:textId="77777777" w:rsidR="00D90040" w:rsidRDefault="00B46279">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18.635-21.336</w:t>
            </w:r>
          </w:p>
        </w:tc>
      </w:tr>
      <w:tr w:rsidR="00D90040" w14:paraId="6E7B40C5" w14:textId="77777777">
        <w:trPr>
          <w:trHeight w:val="745"/>
        </w:trPr>
        <w:tc>
          <w:tcPr>
            <w:tcW w:w="1770" w:type="dxa"/>
            <w:vMerge/>
            <w:tcBorders>
              <w:bottom w:val="nil"/>
              <w:right w:val="nil"/>
            </w:tcBorders>
            <w:shd w:val="clear" w:color="auto" w:fill="auto"/>
            <w:tcMar>
              <w:top w:w="100" w:type="dxa"/>
              <w:left w:w="100" w:type="dxa"/>
              <w:bottom w:w="100" w:type="dxa"/>
              <w:right w:w="100" w:type="dxa"/>
            </w:tcMar>
          </w:tcPr>
          <w:p w14:paraId="5DFACD00" w14:textId="77777777" w:rsidR="00D90040" w:rsidRDefault="00D90040">
            <w:pPr>
              <w:widowControl w:val="0"/>
              <w:pBdr>
                <w:top w:val="nil"/>
                <w:left w:val="nil"/>
                <w:bottom w:val="nil"/>
                <w:right w:val="nil"/>
                <w:between w:val="nil"/>
              </w:pBdr>
              <w:rPr>
                <w:rFonts w:ascii="Times New Roman" w:eastAsia="Times New Roman" w:hAnsi="Times New Roman" w:cs="Times New Roman"/>
                <w:b/>
                <w:sz w:val="24"/>
                <w:szCs w:val="24"/>
              </w:rPr>
            </w:pPr>
          </w:p>
        </w:tc>
        <w:tc>
          <w:tcPr>
            <w:tcW w:w="1740" w:type="dxa"/>
            <w:tcBorders>
              <w:top w:val="nil"/>
              <w:left w:val="nil"/>
              <w:bottom w:val="nil"/>
              <w:right w:val="nil"/>
            </w:tcBorders>
            <w:shd w:val="clear" w:color="auto" w:fill="auto"/>
            <w:tcMar>
              <w:top w:w="20" w:type="dxa"/>
              <w:left w:w="20" w:type="dxa"/>
              <w:bottom w:w="100" w:type="dxa"/>
              <w:right w:w="20" w:type="dxa"/>
            </w:tcMar>
          </w:tcPr>
          <w:p w14:paraId="79974F8A" w14:textId="77777777" w:rsidR="00D90040" w:rsidRDefault="00B46279">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Present</w:t>
            </w:r>
          </w:p>
        </w:tc>
        <w:tc>
          <w:tcPr>
            <w:tcW w:w="1290" w:type="dxa"/>
            <w:tcBorders>
              <w:top w:val="nil"/>
              <w:left w:val="nil"/>
              <w:bottom w:val="nil"/>
              <w:right w:val="nil"/>
            </w:tcBorders>
            <w:shd w:val="clear" w:color="auto" w:fill="auto"/>
            <w:tcMar>
              <w:top w:w="20" w:type="dxa"/>
              <w:left w:w="20" w:type="dxa"/>
              <w:bottom w:w="100" w:type="dxa"/>
              <w:right w:w="20" w:type="dxa"/>
            </w:tcMar>
          </w:tcPr>
          <w:p w14:paraId="3CD35978" w14:textId="77777777" w:rsidR="00D90040" w:rsidRDefault="00B46279">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27.276</w:t>
            </w:r>
          </w:p>
        </w:tc>
        <w:tc>
          <w:tcPr>
            <w:tcW w:w="1290" w:type="dxa"/>
            <w:tcBorders>
              <w:top w:val="nil"/>
              <w:left w:val="nil"/>
              <w:bottom w:val="nil"/>
              <w:right w:val="nil"/>
            </w:tcBorders>
            <w:shd w:val="clear" w:color="auto" w:fill="auto"/>
            <w:tcMar>
              <w:top w:w="20" w:type="dxa"/>
              <w:left w:w="20" w:type="dxa"/>
              <w:bottom w:w="100" w:type="dxa"/>
              <w:right w:w="20" w:type="dxa"/>
            </w:tcMar>
          </w:tcPr>
          <w:p w14:paraId="131C1FA5" w14:textId="77777777" w:rsidR="00D90040" w:rsidRDefault="00B46279">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1.495</w:t>
            </w:r>
          </w:p>
        </w:tc>
        <w:tc>
          <w:tcPr>
            <w:tcW w:w="1695" w:type="dxa"/>
            <w:tcBorders>
              <w:top w:val="nil"/>
              <w:left w:val="nil"/>
              <w:bottom w:val="nil"/>
              <w:right w:val="nil"/>
            </w:tcBorders>
            <w:shd w:val="clear" w:color="auto" w:fill="auto"/>
            <w:tcMar>
              <w:top w:w="20" w:type="dxa"/>
              <w:left w:w="20" w:type="dxa"/>
              <w:bottom w:w="100" w:type="dxa"/>
              <w:right w:w="20" w:type="dxa"/>
            </w:tcMar>
          </w:tcPr>
          <w:p w14:paraId="38F6C89F" w14:textId="77777777" w:rsidR="00D90040" w:rsidRDefault="00B46279">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24.344-30.209</w:t>
            </w:r>
          </w:p>
        </w:tc>
      </w:tr>
      <w:tr w:rsidR="00D90040" w14:paraId="33E4D959" w14:textId="77777777">
        <w:trPr>
          <w:trHeight w:val="745"/>
        </w:trPr>
        <w:tc>
          <w:tcPr>
            <w:tcW w:w="1770" w:type="dxa"/>
            <w:vMerge w:val="restart"/>
            <w:tcBorders>
              <w:top w:val="nil"/>
              <w:left w:val="nil"/>
              <w:bottom w:val="nil"/>
              <w:right w:val="nil"/>
            </w:tcBorders>
            <w:shd w:val="clear" w:color="auto" w:fill="auto"/>
            <w:tcMar>
              <w:top w:w="20" w:type="dxa"/>
              <w:left w:w="20" w:type="dxa"/>
              <w:bottom w:w="100" w:type="dxa"/>
              <w:right w:w="20" w:type="dxa"/>
            </w:tcMar>
          </w:tcPr>
          <w:p w14:paraId="0970AA93" w14:textId="77777777" w:rsidR="00D90040" w:rsidRDefault="00B46279">
            <w:pPr>
              <w:spacing w:after="20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Polysubstance dependence</w:t>
            </w:r>
          </w:p>
        </w:tc>
        <w:tc>
          <w:tcPr>
            <w:tcW w:w="1740" w:type="dxa"/>
            <w:tcBorders>
              <w:top w:val="nil"/>
              <w:left w:val="nil"/>
              <w:bottom w:val="nil"/>
              <w:right w:val="nil"/>
            </w:tcBorders>
            <w:shd w:val="clear" w:color="auto" w:fill="auto"/>
            <w:tcMar>
              <w:top w:w="20" w:type="dxa"/>
              <w:left w:w="20" w:type="dxa"/>
              <w:bottom w:w="100" w:type="dxa"/>
              <w:right w:w="20" w:type="dxa"/>
            </w:tcMar>
          </w:tcPr>
          <w:p w14:paraId="424C772F" w14:textId="77777777" w:rsidR="00D90040" w:rsidRDefault="00B46279">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Absent</w:t>
            </w:r>
          </w:p>
        </w:tc>
        <w:tc>
          <w:tcPr>
            <w:tcW w:w="1290" w:type="dxa"/>
            <w:tcBorders>
              <w:top w:val="nil"/>
              <w:left w:val="nil"/>
              <w:bottom w:val="nil"/>
              <w:right w:val="nil"/>
            </w:tcBorders>
            <w:shd w:val="clear" w:color="auto" w:fill="auto"/>
            <w:tcMar>
              <w:top w:w="20" w:type="dxa"/>
              <w:left w:w="20" w:type="dxa"/>
              <w:bottom w:w="100" w:type="dxa"/>
              <w:right w:w="20" w:type="dxa"/>
            </w:tcMar>
          </w:tcPr>
          <w:p w14:paraId="0A851F3E" w14:textId="77777777" w:rsidR="00D90040" w:rsidRDefault="00B46279">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24.477</w:t>
            </w:r>
          </w:p>
        </w:tc>
        <w:tc>
          <w:tcPr>
            <w:tcW w:w="1290" w:type="dxa"/>
            <w:tcBorders>
              <w:top w:val="nil"/>
              <w:left w:val="nil"/>
              <w:bottom w:val="nil"/>
              <w:right w:val="nil"/>
            </w:tcBorders>
            <w:shd w:val="clear" w:color="auto" w:fill="auto"/>
            <w:tcMar>
              <w:top w:w="20" w:type="dxa"/>
              <w:left w:w="20" w:type="dxa"/>
              <w:bottom w:w="100" w:type="dxa"/>
              <w:right w:w="20" w:type="dxa"/>
            </w:tcMar>
          </w:tcPr>
          <w:p w14:paraId="300C46D8" w14:textId="77777777" w:rsidR="00D90040" w:rsidRDefault="00B46279">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0.935</w:t>
            </w:r>
          </w:p>
        </w:tc>
        <w:tc>
          <w:tcPr>
            <w:tcW w:w="1695" w:type="dxa"/>
            <w:tcBorders>
              <w:top w:val="nil"/>
              <w:left w:val="nil"/>
              <w:bottom w:val="nil"/>
              <w:right w:val="nil"/>
            </w:tcBorders>
            <w:shd w:val="clear" w:color="auto" w:fill="auto"/>
            <w:tcMar>
              <w:top w:w="20" w:type="dxa"/>
              <w:left w:w="20" w:type="dxa"/>
              <w:bottom w:w="100" w:type="dxa"/>
              <w:right w:w="20" w:type="dxa"/>
            </w:tcMar>
          </w:tcPr>
          <w:p w14:paraId="6206A495" w14:textId="77777777" w:rsidR="00D90040" w:rsidRDefault="00B46279">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22.643-26.312</w:t>
            </w:r>
          </w:p>
        </w:tc>
      </w:tr>
      <w:tr w:rsidR="00D90040" w14:paraId="737863BF" w14:textId="77777777">
        <w:trPr>
          <w:trHeight w:val="745"/>
        </w:trPr>
        <w:tc>
          <w:tcPr>
            <w:tcW w:w="1770" w:type="dxa"/>
            <w:vMerge/>
            <w:tcBorders>
              <w:bottom w:val="single" w:sz="8" w:space="0" w:color="000000"/>
              <w:right w:val="nil"/>
            </w:tcBorders>
            <w:shd w:val="clear" w:color="auto" w:fill="auto"/>
            <w:tcMar>
              <w:top w:w="100" w:type="dxa"/>
              <w:left w:w="100" w:type="dxa"/>
              <w:bottom w:w="100" w:type="dxa"/>
              <w:right w:w="100" w:type="dxa"/>
            </w:tcMar>
          </w:tcPr>
          <w:p w14:paraId="6D72F06A" w14:textId="77777777" w:rsidR="00D90040" w:rsidRDefault="00D90040">
            <w:pPr>
              <w:widowControl w:val="0"/>
              <w:pBdr>
                <w:top w:val="nil"/>
                <w:left w:val="nil"/>
                <w:bottom w:val="nil"/>
                <w:right w:val="nil"/>
                <w:between w:val="nil"/>
              </w:pBdr>
              <w:rPr>
                <w:rFonts w:ascii="Times New Roman" w:eastAsia="Times New Roman" w:hAnsi="Times New Roman" w:cs="Times New Roman"/>
                <w:b/>
                <w:sz w:val="24"/>
                <w:szCs w:val="24"/>
              </w:rPr>
            </w:pPr>
          </w:p>
        </w:tc>
        <w:tc>
          <w:tcPr>
            <w:tcW w:w="1740" w:type="dxa"/>
            <w:tcBorders>
              <w:top w:val="nil"/>
              <w:left w:val="nil"/>
              <w:bottom w:val="single" w:sz="8" w:space="0" w:color="000000"/>
              <w:right w:val="nil"/>
            </w:tcBorders>
            <w:shd w:val="clear" w:color="auto" w:fill="auto"/>
            <w:tcMar>
              <w:top w:w="20" w:type="dxa"/>
              <w:left w:w="20" w:type="dxa"/>
              <w:bottom w:w="100" w:type="dxa"/>
              <w:right w:w="20" w:type="dxa"/>
            </w:tcMar>
          </w:tcPr>
          <w:p w14:paraId="6D7DFE7A" w14:textId="77777777" w:rsidR="00D90040" w:rsidRDefault="00B46279">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Present</w:t>
            </w:r>
          </w:p>
        </w:tc>
        <w:tc>
          <w:tcPr>
            <w:tcW w:w="1290" w:type="dxa"/>
            <w:tcBorders>
              <w:top w:val="nil"/>
              <w:left w:val="nil"/>
              <w:bottom w:val="single" w:sz="8" w:space="0" w:color="000000"/>
              <w:right w:val="nil"/>
            </w:tcBorders>
            <w:shd w:val="clear" w:color="auto" w:fill="auto"/>
            <w:tcMar>
              <w:top w:w="20" w:type="dxa"/>
              <w:left w:w="20" w:type="dxa"/>
              <w:bottom w:w="100" w:type="dxa"/>
              <w:right w:w="20" w:type="dxa"/>
            </w:tcMar>
          </w:tcPr>
          <w:p w14:paraId="159884C9" w14:textId="77777777" w:rsidR="00D90040" w:rsidRDefault="00B46279">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36.55</w:t>
            </w:r>
          </w:p>
        </w:tc>
        <w:tc>
          <w:tcPr>
            <w:tcW w:w="1290" w:type="dxa"/>
            <w:tcBorders>
              <w:top w:val="nil"/>
              <w:left w:val="nil"/>
              <w:bottom w:val="single" w:sz="8" w:space="0" w:color="000000"/>
              <w:right w:val="nil"/>
            </w:tcBorders>
            <w:shd w:val="clear" w:color="auto" w:fill="auto"/>
            <w:tcMar>
              <w:top w:w="20" w:type="dxa"/>
              <w:left w:w="20" w:type="dxa"/>
              <w:bottom w:w="100" w:type="dxa"/>
              <w:right w:w="20" w:type="dxa"/>
            </w:tcMar>
          </w:tcPr>
          <w:p w14:paraId="172ACD3E" w14:textId="77777777" w:rsidR="00D90040" w:rsidRDefault="00B46279">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1.609</w:t>
            </w:r>
          </w:p>
        </w:tc>
        <w:tc>
          <w:tcPr>
            <w:tcW w:w="1695" w:type="dxa"/>
            <w:tcBorders>
              <w:top w:val="nil"/>
              <w:left w:val="nil"/>
              <w:bottom w:val="single" w:sz="8" w:space="0" w:color="000000"/>
              <w:right w:val="nil"/>
            </w:tcBorders>
            <w:shd w:val="clear" w:color="auto" w:fill="auto"/>
            <w:tcMar>
              <w:top w:w="20" w:type="dxa"/>
              <w:left w:w="20" w:type="dxa"/>
              <w:bottom w:w="100" w:type="dxa"/>
              <w:right w:w="20" w:type="dxa"/>
            </w:tcMar>
          </w:tcPr>
          <w:p w14:paraId="60107C2B" w14:textId="77777777" w:rsidR="00D90040" w:rsidRDefault="00B46279">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33.393-39.707</w:t>
            </w:r>
          </w:p>
        </w:tc>
      </w:tr>
    </w:tbl>
    <w:p w14:paraId="6C978654" w14:textId="77777777" w:rsidR="00D90040" w:rsidRDefault="00D90040">
      <w:pPr>
        <w:spacing w:after="200" w:line="240" w:lineRule="auto"/>
        <w:rPr>
          <w:rFonts w:ascii="Times New Roman" w:eastAsia="Times New Roman" w:hAnsi="Times New Roman" w:cs="Times New Roman"/>
          <w:b/>
          <w:sz w:val="24"/>
          <w:szCs w:val="24"/>
        </w:rPr>
      </w:pPr>
    </w:p>
    <w:p w14:paraId="0C092CBF" w14:textId="77777777" w:rsidR="00D90040" w:rsidRDefault="00D90040">
      <w:pPr>
        <w:spacing w:line="240" w:lineRule="auto"/>
        <w:rPr>
          <w:rFonts w:ascii="Times New Roman" w:eastAsia="Times New Roman" w:hAnsi="Times New Roman" w:cs="Times New Roman"/>
          <w:b/>
          <w:sz w:val="24"/>
          <w:szCs w:val="24"/>
        </w:rPr>
      </w:pPr>
    </w:p>
    <w:p w14:paraId="570641F9" w14:textId="77777777" w:rsidR="00D90040" w:rsidRDefault="00B46279">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Figure 1</w:t>
      </w:r>
    </w:p>
    <w:p w14:paraId="261DDC34" w14:textId="77777777" w:rsidR="00D90040" w:rsidRDefault="00D90040">
      <w:pPr>
        <w:spacing w:line="240" w:lineRule="auto"/>
        <w:rPr>
          <w:rFonts w:ascii="Times New Roman" w:eastAsia="Times New Roman" w:hAnsi="Times New Roman" w:cs="Times New Roman"/>
          <w:sz w:val="24"/>
          <w:szCs w:val="24"/>
        </w:rPr>
      </w:pPr>
    </w:p>
    <w:p w14:paraId="62957C33" w14:textId="77777777" w:rsidR="00D90040" w:rsidRDefault="00B46279">
      <w:pP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ASI Scores for Grouped Current SUDs</w:t>
      </w:r>
    </w:p>
    <w:p w14:paraId="1BCA8B0B" w14:textId="77777777" w:rsidR="00D90040" w:rsidRDefault="00D90040">
      <w:pPr>
        <w:spacing w:line="240" w:lineRule="auto"/>
        <w:rPr>
          <w:rFonts w:ascii="Times New Roman" w:eastAsia="Times New Roman" w:hAnsi="Times New Roman" w:cs="Times New Roman"/>
          <w:i/>
          <w:sz w:val="24"/>
          <w:szCs w:val="24"/>
        </w:rPr>
      </w:pPr>
    </w:p>
    <w:p w14:paraId="4444E8A8"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rPr>
        <w:drawing>
          <wp:inline distT="114300" distB="114300" distL="114300" distR="114300" wp14:anchorId="4755F7BD" wp14:editId="480DDC69">
            <wp:extent cx="4976813" cy="3062654"/>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2"/>
                    <a:srcRect/>
                    <a:stretch>
                      <a:fillRect/>
                    </a:stretch>
                  </pic:blipFill>
                  <pic:spPr>
                    <a:xfrm>
                      <a:off x="0" y="0"/>
                      <a:ext cx="4976813" cy="3062654"/>
                    </a:xfrm>
                    <a:prstGeom prst="rect">
                      <a:avLst/>
                    </a:prstGeom>
                    <a:ln/>
                  </pic:spPr>
                </pic:pic>
              </a:graphicData>
            </a:graphic>
          </wp:inline>
        </w:drawing>
      </w:r>
    </w:p>
    <w:p w14:paraId="229E4FB2" w14:textId="77777777" w:rsidR="00D90040" w:rsidRDefault="00D90040">
      <w:pPr>
        <w:spacing w:line="240" w:lineRule="auto"/>
        <w:rPr>
          <w:rFonts w:ascii="Times New Roman" w:eastAsia="Times New Roman" w:hAnsi="Times New Roman" w:cs="Times New Roman"/>
          <w:sz w:val="24"/>
          <w:szCs w:val="24"/>
        </w:rPr>
      </w:pPr>
    </w:p>
    <w:p w14:paraId="2E643143" w14:textId="77777777" w:rsidR="00D90040" w:rsidRDefault="00D90040">
      <w:pPr>
        <w:spacing w:after="200" w:line="240" w:lineRule="auto"/>
        <w:rPr>
          <w:rFonts w:ascii="Times New Roman" w:eastAsia="Times New Roman" w:hAnsi="Times New Roman" w:cs="Times New Roman"/>
          <w:sz w:val="24"/>
          <w:szCs w:val="24"/>
        </w:rPr>
      </w:pPr>
    </w:p>
    <w:p w14:paraId="54C2A9C3" w14:textId="77777777" w:rsidR="00D90040" w:rsidRDefault="00B46279">
      <w:pPr>
        <w:spacing w:after="20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5</w:t>
      </w:r>
    </w:p>
    <w:p w14:paraId="4AF77030" w14:textId="77777777" w:rsidR="00D90040" w:rsidRDefault="00B46279">
      <w:pPr>
        <w:spacing w:after="200"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Effect of PTSD and Grouped Lifetime SUDs on ASI</w:t>
      </w:r>
    </w:p>
    <w:tbl>
      <w:tblPr>
        <w:tblStyle w:val="a3"/>
        <w:tblW w:w="6975" w:type="dxa"/>
        <w:tblBorders>
          <w:top w:val="nil"/>
          <w:left w:val="nil"/>
          <w:bottom w:val="nil"/>
          <w:right w:val="nil"/>
          <w:insideH w:val="nil"/>
          <w:insideV w:val="nil"/>
        </w:tblBorders>
        <w:tblLayout w:type="fixed"/>
        <w:tblLook w:val="0600" w:firstRow="0" w:lastRow="0" w:firstColumn="0" w:lastColumn="0" w:noHBand="1" w:noVBand="1"/>
      </w:tblPr>
      <w:tblGrid>
        <w:gridCol w:w="1875"/>
        <w:gridCol w:w="1230"/>
        <w:gridCol w:w="1395"/>
        <w:gridCol w:w="2475"/>
      </w:tblGrid>
      <w:tr w:rsidR="00D90040" w14:paraId="3EAB7D73" w14:textId="77777777">
        <w:trPr>
          <w:trHeight w:val="765"/>
        </w:trPr>
        <w:tc>
          <w:tcPr>
            <w:tcW w:w="1875" w:type="dxa"/>
            <w:tcBorders>
              <w:top w:val="single" w:sz="8" w:space="0" w:color="000000"/>
              <w:left w:val="nil"/>
              <w:bottom w:val="single" w:sz="8" w:space="0" w:color="000000"/>
              <w:right w:val="nil"/>
            </w:tcBorders>
            <w:tcMar>
              <w:top w:w="100" w:type="dxa"/>
              <w:left w:w="100" w:type="dxa"/>
              <w:bottom w:w="100" w:type="dxa"/>
              <w:right w:w="100" w:type="dxa"/>
            </w:tcMar>
          </w:tcPr>
          <w:p w14:paraId="1197ACD2"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Variable</w:t>
            </w:r>
          </w:p>
        </w:tc>
        <w:tc>
          <w:tcPr>
            <w:tcW w:w="1230" w:type="dxa"/>
            <w:tcBorders>
              <w:top w:val="single" w:sz="8" w:space="0" w:color="000000"/>
              <w:left w:val="nil"/>
              <w:bottom w:val="single" w:sz="8" w:space="0" w:color="000000"/>
              <w:right w:val="nil"/>
            </w:tcBorders>
            <w:tcMar>
              <w:top w:w="100" w:type="dxa"/>
              <w:left w:w="100" w:type="dxa"/>
              <w:bottom w:w="100" w:type="dxa"/>
              <w:right w:w="100" w:type="dxa"/>
            </w:tcMar>
          </w:tcPr>
          <w:p w14:paraId="02CD9D6E" w14:textId="77777777" w:rsidR="00D90040" w:rsidRDefault="00B46279">
            <w:pP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F</w:t>
            </w:r>
          </w:p>
        </w:tc>
        <w:tc>
          <w:tcPr>
            <w:tcW w:w="1395" w:type="dxa"/>
            <w:tcBorders>
              <w:top w:val="single" w:sz="8" w:space="0" w:color="000000"/>
              <w:left w:val="nil"/>
              <w:bottom w:val="single" w:sz="8" w:space="0" w:color="000000"/>
              <w:right w:val="nil"/>
            </w:tcBorders>
            <w:tcMar>
              <w:top w:w="100" w:type="dxa"/>
              <w:left w:w="100" w:type="dxa"/>
              <w:bottom w:w="100" w:type="dxa"/>
              <w:right w:w="100" w:type="dxa"/>
            </w:tcMar>
          </w:tcPr>
          <w:p w14:paraId="251D2DB9" w14:textId="77777777" w:rsidR="00D90040" w:rsidRDefault="00B46279">
            <w:pPr>
              <w:spacing w:line="240" w:lineRule="auto"/>
              <w:rPr>
                <w:rFonts w:ascii="Times New Roman" w:eastAsia="Times New Roman" w:hAnsi="Times New Roman" w:cs="Times New Roman"/>
                <w:i/>
                <w:sz w:val="24"/>
                <w:szCs w:val="24"/>
              </w:rPr>
            </w:pPr>
            <w:proofErr w:type="spellStart"/>
            <w:r>
              <w:rPr>
                <w:rFonts w:ascii="Times New Roman" w:eastAsia="Times New Roman" w:hAnsi="Times New Roman" w:cs="Times New Roman"/>
                <w:i/>
                <w:sz w:val="24"/>
                <w:szCs w:val="24"/>
              </w:rPr>
              <w:t>df</w:t>
            </w:r>
            <w:proofErr w:type="spellEnd"/>
          </w:p>
        </w:tc>
        <w:tc>
          <w:tcPr>
            <w:tcW w:w="2475" w:type="dxa"/>
            <w:tcBorders>
              <w:top w:val="single" w:sz="8" w:space="0" w:color="000000"/>
              <w:left w:val="nil"/>
              <w:bottom w:val="single" w:sz="8" w:space="0" w:color="000000"/>
              <w:right w:val="nil"/>
            </w:tcBorders>
            <w:tcMar>
              <w:top w:w="100" w:type="dxa"/>
              <w:left w:w="100" w:type="dxa"/>
              <w:bottom w:w="100" w:type="dxa"/>
              <w:right w:w="100" w:type="dxa"/>
            </w:tcMar>
          </w:tcPr>
          <w:p w14:paraId="6B6FE4DA"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Significance (p-value)</w:t>
            </w:r>
          </w:p>
        </w:tc>
      </w:tr>
      <w:tr w:rsidR="00D90040" w14:paraId="7D44BA2E" w14:textId="77777777">
        <w:trPr>
          <w:trHeight w:val="750"/>
        </w:trPr>
        <w:tc>
          <w:tcPr>
            <w:tcW w:w="1875" w:type="dxa"/>
            <w:tcBorders>
              <w:top w:val="nil"/>
              <w:left w:val="nil"/>
              <w:bottom w:val="nil"/>
              <w:right w:val="nil"/>
            </w:tcBorders>
            <w:tcMar>
              <w:top w:w="100" w:type="dxa"/>
              <w:left w:w="100" w:type="dxa"/>
              <w:bottom w:w="100" w:type="dxa"/>
              <w:right w:w="100" w:type="dxa"/>
            </w:tcMar>
          </w:tcPr>
          <w:p w14:paraId="53F8812A"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Age</w:t>
            </w:r>
          </w:p>
        </w:tc>
        <w:tc>
          <w:tcPr>
            <w:tcW w:w="1230" w:type="dxa"/>
            <w:tcBorders>
              <w:top w:val="nil"/>
              <w:left w:val="nil"/>
              <w:bottom w:val="nil"/>
              <w:right w:val="nil"/>
            </w:tcBorders>
            <w:tcMar>
              <w:top w:w="100" w:type="dxa"/>
              <w:left w:w="100" w:type="dxa"/>
              <w:bottom w:w="100" w:type="dxa"/>
              <w:right w:w="100" w:type="dxa"/>
            </w:tcMar>
          </w:tcPr>
          <w:p w14:paraId="7F8000AB"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8.7229</w:t>
            </w:r>
          </w:p>
        </w:tc>
        <w:tc>
          <w:tcPr>
            <w:tcW w:w="1395" w:type="dxa"/>
            <w:tcBorders>
              <w:top w:val="nil"/>
              <w:left w:val="nil"/>
              <w:bottom w:val="nil"/>
              <w:right w:val="nil"/>
            </w:tcBorders>
            <w:tcMar>
              <w:top w:w="100" w:type="dxa"/>
              <w:left w:w="100" w:type="dxa"/>
              <w:bottom w:w="100" w:type="dxa"/>
              <w:right w:w="100" w:type="dxa"/>
            </w:tcMar>
          </w:tcPr>
          <w:p w14:paraId="6CA6AD35"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1, 1504</w:t>
            </w:r>
          </w:p>
        </w:tc>
        <w:tc>
          <w:tcPr>
            <w:tcW w:w="2475" w:type="dxa"/>
            <w:tcBorders>
              <w:top w:val="nil"/>
              <w:left w:val="nil"/>
              <w:bottom w:val="nil"/>
              <w:right w:val="nil"/>
            </w:tcBorders>
            <w:tcMar>
              <w:top w:w="100" w:type="dxa"/>
              <w:left w:w="100" w:type="dxa"/>
              <w:bottom w:w="100" w:type="dxa"/>
              <w:right w:w="100" w:type="dxa"/>
            </w:tcMar>
          </w:tcPr>
          <w:p w14:paraId="514FCBA8"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0.0032**</w:t>
            </w:r>
          </w:p>
        </w:tc>
      </w:tr>
      <w:tr w:rsidR="00D90040" w14:paraId="5C30C374" w14:textId="77777777">
        <w:trPr>
          <w:trHeight w:val="720"/>
        </w:trPr>
        <w:tc>
          <w:tcPr>
            <w:tcW w:w="1875" w:type="dxa"/>
            <w:tcBorders>
              <w:top w:val="nil"/>
              <w:left w:val="nil"/>
              <w:bottom w:val="nil"/>
              <w:right w:val="nil"/>
            </w:tcBorders>
            <w:tcMar>
              <w:top w:w="100" w:type="dxa"/>
              <w:left w:w="100" w:type="dxa"/>
              <w:bottom w:w="100" w:type="dxa"/>
              <w:right w:w="100" w:type="dxa"/>
            </w:tcMar>
          </w:tcPr>
          <w:p w14:paraId="50A761DC"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Gender</w:t>
            </w:r>
          </w:p>
        </w:tc>
        <w:tc>
          <w:tcPr>
            <w:tcW w:w="1230" w:type="dxa"/>
            <w:tcBorders>
              <w:top w:val="nil"/>
              <w:left w:val="nil"/>
              <w:bottom w:val="nil"/>
              <w:right w:val="nil"/>
            </w:tcBorders>
            <w:tcMar>
              <w:top w:w="100" w:type="dxa"/>
              <w:left w:w="100" w:type="dxa"/>
              <w:bottom w:w="100" w:type="dxa"/>
              <w:right w:w="100" w:type="dxa"/>
            </w:tcMar>
          </w:tcPr>
          <w:p w14:paraId="4062052C"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2.5539</w:t>
            </w:r>
          </w:p>
        </w:tc>
        <w:tc>
          <w:tcPr>
            <w:tcW w:w="1395" w:type="dxa"/>
            <w:tcBorders>
              <w:top w:val="nil"/>
              <w:left w:val="nil"/>
              <w:bottom w:val="nil"/>
              <w:right w:val="nil"/>
            </w:tcBorders>
            <w:tcMar>
              <w:top w:w="100" w:type="dxa"/>
              <w:left w:w="100" w:type="dxa"/>
              <w:bottom w:w="100" w:type="dxa"/>
              <w:right w:w="100" w:type="dxa"/>
            </w:tcMar>
          </w:tcPr>
          <w:p w14:paraId="0B6D3112"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1, 1504</w:t>
            </w:r>
          </w:p>
        </w:tc>
        <w:tc>
          <w:tcPr>
            <w:tcW w:w="2475" w:type="dxa"/>
            <w:tcBorders>
              <w:top w:val="nil"/>
              <w:left w:val="nil"/>
              <w:bottom w:val="nil"/>
              <w:right w:val="nil"/>
            </w:tcBorders>
            <w:tcMar>
              <w:top w:w="100" w:type="dxa"/>
              <w:left w:w="100" w:type="dxa"/>
              <w:bottom w:w="100" w:type="dxa"/>
              <w:right w:w="100" w:type="dxa"/>
            </w:tcMar>
          </w:tcPr>
          <w:p w14:paraId="770028F9"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0.11</w:t>
            </w:r>
          </w:p>
        </w:tc>
      </w:tr>
      <w:tr w:rsidR="00D90040" w14:paraId="3882AEF1" w14:textId="77777777">
        <w:trPr>
          <w:trHeight w:val="735"/>
        </w:trPr>
        <w:tc>
          <w:tcPr>
            <w:tcW w:w="1875" w:type="dxa"/>
            <w:tcBorders>
              <w:top w:val="nil"/>
              <w:left w:val="nil"/>
              <w:bottom w:val="nil"/>
              <w:right w:val="nil"/>
            </w:tcBorders>
            <w:tcMar>
              <w:top w:w="100" w:type="dxa"/>
              <w:left w:w="100" w:type="dxa"/>
              <w:bottom w:w="100" w:type="dxa"/>
              <w:right w:w="100" w:type="dxa"/>
            </w:tcMar>
          </w:tcPr>
          <w:p w14:paraId="55C721AA"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Income</w:t>
            </w:r>
          </w:p>
        </w:tc>
        <w:tc>
          <w:tcPr>
            <w:tcW w:w="1230" w:type="dxa"/>
            <w:tcBorders>
              <w:top w:val="nil"/>
              <w:left w:val="nil"/>
              <w:bottom w:val="nil"/>
              <w:right w:val="nil"/>
            </w:tcBorders>
            <w:tcMar>
              <w:top w:w="100" w:type="dxa"/>
              <w:left w:w="100" w:type="dxa"/>
              <w:bottom w:w="100" w:type="dxa"/>
              <w:right w:w="100" w:type="dxa"/>
            </w:tcMar>
          </w:tcPr>
          <w:p w14:paraId="53635F82"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6.1478</w:t>
            </w:r>
          </w:p>
        </w:tc>
        <w:tc>
          <w:tcPr>
            <w:tcW w:w="1395" w:type="dxa"/>
            <w:tcBorders>
              <w:top w:val="nil"/>
              <w:left w:val="nil"/>
              <w:bottom w:val="nil"/>
              <w:right w:val="nil"/>
            </w:tcBorders>
            <w:tcMar>
              <w:top w:w="100" w:type="dxa"/>
              <w:left w:w="100" w:type="dxa"/>
              <w:bottom w:w="100" w:type="dxa"/>
              <w:right w:w="100" w:type="dxa"/>
            </w:tcMar>
          </w:tcPr>
          <w:p w14:paraId="2653D585"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1, 1504</w:t>
            </w:r>
          </w:p>
        </w:tc>
        <w:tc>
          <w:tcPr>
            <w:tcW w:w="2475" w:type="dxa"/>
            <w:tcBorders>
              <w:top w:val="nil"/>
              <w:left w:val="nil"/>
              <w:bottom w:val="nil"/>
              <w:right w:val="nil"/>
            </w:tcBorders>
            <w:tcMar>
              <w:top w:w="100" w:type="dxa"/>
              <w:left w:w="100" w:type="dxa"/>
              <w:bottom w:w="100" w:type="dxa"/>
              <w:right w:w="100" w:type="dxa"/>
            </w:tcMar>
          </w:tcPr>
          <w:p w14:paraId="79331A3E"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0.013*</w:t>
            </w:r>
          </w:p>
        </w:tc>
      </w:tr>
      <w:tr w:rsidR="00D90040" w14:paraId="2E8A05C9" w14:textId="77777777">
        <w:trPr>
          <w:trHeight w:val="1065"/>
        </w:trPr>
        <w:tc>
          <w:tcPr>
            <w:tcW w:w="1875" w:type="dxa"/>
            <w:tcBorders>
              <w:top w:val="nil"/>
              <w:left w:val="nil"/>
              <w:bottom w:val="nil"/>
              <w:right w:val="nil"/>
            </w:tcBorders>
            <w:tcMar>
              <w:top w:w="100" w:type="dxa"/>
              <w:left w:w="100" w:type="dxa"/>
              <w:bottom w:w="100" w:type="dxa"/>
              <w:right w:w="100" w:type="dxa"/>
            </w:tcMar>
          </w:tcPr>
          <w:p w14:paraId="087E151E"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Grouped Lifetime SUDs</w:t>
            </w:r>
          </w:p>
        </w:tc>
        <w:tc>
          <w:tcPr>
            <w:tcW w:w="1230" w:type="dxa"/>
            <w:tcBorders>
              <w:top w:val="nil"/>
              <w:left w:val="nil"/>
              <w:bottom w:val="nil"/>
              <w:right w:val="nil"/>
            </w:tcBorders>
            <w:tcMar>
              <w:top w:w="100" w:type="dxa"/>
              <w:left w:w="100" w:type="dxa"/>
              <w:bottom w:w="100" w:type="dxa"/>
              <w:right w:w="100" w:type="dxa"/>
            </w:tcMar>
          </w:tcPr>
          <w:p w14:paraId="67FCD0E6"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47.5373</w:t>
            </w:r>
          </w:p>
        </w:tc>
        <w:tc>
          <w:tcPr>
            <w:tcW w:w="1395" w:type="dxa"/>
            <w:tcBorders>
              <w:top w:val="nil"/>
              <w:left w:val="nil"/>
              <w:bottom w:val="nil"/>
              <w:right w:val="nil"/>
            </w:tcBorders>
            <w:tcMar>
              <w:top w:w="100" w:type="dxa"/>
              <w:left w:w="100" w:type="dxa"/>
              <w:bottom w:w="100" w:type="dxa"/>
              <w:right w:w="100" w:type="dxa"/>
            </w:tcMar>
          </w:tcPr>
          <w:p w14:paraId="68E6FFD0"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2, 1504</w:t>
            </w:r>
          </w:p>
        </w:tc>
        <w:tc>
          <w:tcPr>
            <w:tcW w:w="2475" w:type="dxa"/>
            <w:tcBorders>
              <w:top w:val="nil"/>
              <w:left w:val="nil"/>
              <w:bottom w:val="nil"/>
              <w:right w:val="nil"/>
            </w:tcBorders>
            <w:tcMar>
              <w:top w:w="100" w:type="dxa"/>
              <w:left w:w="100" w:type="dxa"/>
              <w:bottom w:w="100" w:type="dxa"/>
              <w:right w:w="100" w:type="dxa"/>
            </w:tcMar>
          </w:tcPr>
          <w:p w14:paraId="00F0BCDC"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&lt;0.001***</w:t>
            </w:r>
          </w:p>
        </w:tc>
      </w:tr>
      <w:tr w:rsidR="00D90040" w14:paraId="5B190C0B" w14:textId="77777777">
        <w:trPr>
          <w:trHeight w:val="840"/>
        </w:trPr>
        <w:tc>
          <w:tcPr>
            <w:tcW w:w="1875" w:type="dxa"/>
            <w:tcBorders>
              <w:top w:val="nil"/>
              <w:left w:val="nil"/>
              <w:bottom w:val="nil"/>
              <w:right w:val="nil"/>
            </w:tcBorders>
            <w:tcMar>
              <w:top w:w="100" w:type="dxa"/>
              <w:left w:w="100" w:type="dxa"/>
              <w:bottom w:w="100" w:type="dxa"/>
              <w:right w:w="100" w:type="dxa"/>
            </w:tcMar>
          </w:tcPr>
          <w:p w14:paraId="000CBCE7"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Lifetime PTSD</w:t>
            </w:r>
          </w:p>
        </w:tc>
        <w:tc>
          <w:tcPr>
            <w:tcW w:w="1230" w:type="dxa"/>
            <w:tcBorders>
              <w:top w:val="nil"/>
              <w:left w:val="nil"/>
              <w:bottom w:val="nil"/>
              <w:right w:val="nil"/>
            </w:tcBorders>
            <w:tcMar>
              <w:top w:w="100" w:type="dxa"/>
              <w:left w:w="100" w:type="dxa"/>
              <w:bottom w:w="100" w:type="dxa"/>
              <w:right w:w="100" w:type="dxa"/>
            </w:tcMar>
          </w:tcPr>
          <w:p w14:paraId="03B79079"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95.2513</w:t>
            </w:r>
          </w:p>
        </w:tc>
        <w:tc>
          <w:tcPr>
            <w:tcW w:w="1395" w:type="dxa"/>
            <w:tcBorders>
              <w:top w:val="nil"/>
              <w:left w:val="nil"/>
              <w:bottom w:val="nil"/>
              <w:right w:val="nil"/>
            </w:tcBorders>
            <w:tcMar>
              <w:top w:w="100" w:type="dxa"/>
              <w:left w:w="100" w:type="dxa"/>
              <w:bottom w:w="100" w:type="dxa"/>
              <w:right w:w="100" w:type="dxa"/>
            </w:tcMar>
          </w:tcPr>
          <w:p w14:paraId="342E23AD"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2, 1504</w:t>
            </w:r>
          </w:p>
        </w:tc>
        <w:tc>
          <w:tcPr>
            <w:tcW w:w="2475" w:type="dxa"/>
            <w:tcBorders>
              <w:top w:val="nil"/>
              <w:left w:val="nil"/>
              <w:bottom w:val="nil"/>
              <w:right w:val="nil"/>
            </w:tcBorders>
            <w:tcMar>
              <w:top w:w="100" w:type="dxa"/>
              <w:left w:w="100" w:type="dxa"/>
              <w:bottom w:w="100" w:type="dxa"/>
              <w:right w:w="100" w:type="dxa"/>
            </w:tcMar>
          </w:tcPr>
          <w:p w14:paraId="691B65B0"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&lt;0.001***</w:t>
            </w:r>
          </w:p>
        </w:tc>
      </w:tr>
      <w:tr w:rsidR="00D90040" w14:paraId="19BBE797" w14:textId="77777777">
        <w:trPr>
          <w:trHeight w:val="1340"/>
        </w:trPr>
        <w:tc>
          <w:tcPr>
            <w:tcW w:w="1875" w:type="dxa"/>
            <w:tcBorders>
              <w:top w:val="nil"/>
              <w:left w:val="nil"/>
              <w:bottom w:val="single" w:sz="8" w:space="0" w:color="000000"/>
              <w:right w:val="nil"/>
            </w:tcBorders>
            <w:tcMar>
              <w:top w:w="100" w:type="dxa"/>
              <w:left w:w="100" w:type="dxa"/>
              <w:bottom w:w="100" w:type="dxa"/>
              <w:right w:w="100" w:type="dxa"/>
            </w:tcMar>
          </w:tcPr>
          <w:p w14:paraId="6AEFEC8B"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Lifetime PTSD*Grouped Lifetime SUDs</w:t>
            </w:r>
          </w:p>
        </w:tc>
        <w:tc>
          <w:tcPr>
            <w:tcW w:w="1230" w:type="dxa"/>
            <w:tcBorders>
              <w:top w:val="nil"/>
              <w:left w:val="nil"/>
              <w:bottom w:val="single" w:sz="8" w:space="0" w:color="000000"/>
              <w:right w:val="nil"/>
            </w:tcBorders>
            <w:tcMar>
              <w:top w:w="100" w:type="dxa"/>
              <w:left w:w="100" w:type="dxa"/>
              <w:bottom w:w="100" w:type="dxa"/>
              <w:right w:w="100" w:type="dxa"/>
            </w:tcMar>
          </w:tcPr>
          <w:p w14:paraId="11527594"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3.0676</w:t>
            </w:r>
          </w:p>
        </w:tc>
        <w:tc>
          <w:tcPr>
            <w:tcW w:w="1395" w:type="dxa"/>
            <w:tcBorders>
              <w:top w:val="nil"/>
              <w:left w:val="nil"/>
              <w:bottom w:val="single" w:sz="8" w:space="0" w:color="000000"/>
              <w:right w:val="nil"/>
            </w:tcBorders>
            <w:tcMar>
              <w:top w:w="100" w:type="dxa"/>
              <w:left w:w="100" w:type="dxa"/>
              <w:bottom w:w="100" w:type="dxa"/>
              <w:right w:w="100" w:type="dxa"/>
            </w:tcMar>
          </w:tcPr>
          <w:p w14:paraId="23756398"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2, 1504</w:t>
            </w:r>
          </w:p>
        </w:tc>
        <w:tc>
          <w:tcPr>
            <w:tcW w:w="2475" w:type="dxa"/>
            <w:tcBorders>
              <w:top w:val="nil"/>
              <w:left w:val="nil"/>
              <w:bottom w:val="single" w:sz="8" w:space="0" w:color="000000"/>
              <w:right w:val="nil"/>
            </w:tcBorders>
            <w:tcMar>
              <w:top w:w="100" w:type="dxa"/>
              <w:left w:w="100" w:type="dxa"/>
              <w:bottom w:w="100" w:type="dxa"/>
              <w:right w:w="100" w:type="dxa"/>
            </w:tcMar>
          </w:tcPr>
          <w:p w14:paraId="697A73DD"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0.047*</w:t>
            </w:r>
          </w:p>
        </w:tc>
      </w:tr>
    </w:tbl>
    <w:p w14:paraId="58B03A76"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p-value &lt;0.001***, &lt;0.01**, &lt;.05*</w:t>
      </w:r>
    </w:p>
    <w:p w14:paraId="7BBF99F4" w14:textId="77777777" w:rsidR="00D90040" w:rsidRDefault="00D90040">
      <w:pPr>
        <w:spacing w:line="240" w:lineRule="auto"/>
        <w:rPr>
          <w:rFonts w:ascii="Times New Roman" w:eastAsia="Times New Roman" w:hAnsi="Times New Roman" w:cs="Times New Roman"/>
          <w:sz w:val="24"/>
          <w:szCs w:val="24"/>
        </w:rPr>
      </w:pPr>
    </w:p>
    <w:p w14:paraId="008224B9" w14:textId="77777777" w:rsidR="00D90040" w:rsidRDefault="00D90040">
      <w:pPr>
        <w:spacing w:line="240" w:lineRule="auto"/>
        <w:rPr>
          <w:rFonts w:ascii="Times New Roman" w:eastAsia="Times New Roman" w:hAnsi="Times New Roman" w:cs="Times New Roman"/>
          <w:sz w:val="24"/>
          <w:szCs w:val="24"/>
        </w:rPr>
      </w:pPr>
    </w:p>
    <w:p w14:paraId="1BC78315" w14:textId="77777777" w:rsidR="00D90040" w:rsidRDefault="00B46279">
      <w:pPr>
        <w:spacing w:after="20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6</w:t>
      </w:r>
    </w:p>
    <w:p w14:paraId="4FFC871C" w14:textId="77777777" w:rsidR="00D90040" w:rsidRDefault="00B46279">
      <w:pPr>
        <w:spacing w:after="200" w:line="240" w:lineRule="auto"/>
        <w:rPr>
          <w:rFonts w:ascii="Times New Roman" w:eastAsia="Times New Roman" w:hAnsi="Times New Roman" w:cs="Times New Roman"/>
          <w:b/>
          <w:sz w:val="24"/>
          <w:szCs w:val="24"/>
        </w:rPr>
      </w:pPr>
      <w:r>
        <w:rPr>
          <w:rFonts w:ascii="Times New Roman" w:eastAsia="Times New Roman" w:hAnsi="Times New Roman" w:cs="Times New Roman"/>
          <w:i/>
          <w:sz w:val="24"/>
          <w:szCs w:val="24"/>
        </w:rPr>
        <w:t>Estimated Marginal Means for Interaction of PTSD and Grouped Lifetime SUDs on ASI</w:t>
      </w:r>
    </w:p>
    <w:tbl>
      <w:tblPr>
        <w:tblStyle w:val="a4"/>
        <w:tblW w:w="7785" w:type="dxa"/>
        <w:tblBorders>
          <w:top w:val="nil"/>
          <w:left w:val="nil"/>
          <w:bottom w:val="nil"/>
          <w:right w:val="nil"/>
          <w:insideH w:val="nil"/>
          <w:insideV w:val="nil"/>
        </w:tblBorders>
        <w:tblLayout w:type="fixed"/>
        <w:tblLook w:val="0600" w:firstRow="0" w:lastRow="0" w:firstColumn="0" w:lastColumn="0" w:noHBand="1" w:noVBand="1"/>
      </w:tblPr>
      <w:tblGrid>
        <w:gridCol w:w="1770"/>
        <w:gridCol w:w="1740"/>
        <w:gridCol w:w="1290"/>
        <w:gridCol w:w="1290"/>
        <w:gridCol w:w="1695"/>
      </w:tblGrid>
      <w:tr w:rsidR="00D90040" w14:paraId="4D614E2A" w14:textId="77777777">
        <w:trPr>
          <w:trHeight w:val="1060"/>
        </w:trPr>
        <w:tc>
          <w:tcPr>
            <w:tcW w:w="1770" w:type="dxa"/>
            <w:tcBorders>
              <w:top w:val="single" w:sz="8" w:space="0" w:color="000000"/>
              <w:left w:val="nil"/>
              <w:bottom w:val="single" w:sz="8" w:space="0" w:color="000000"/>
              <w:right w:val="nil"/>
            </w:tcBorders>
            <w:tcMar>
              <w:top w:w="20" w:type="dxa"/>
              <w:left w:w="20" w:type="dxa"/>
              <w:bottom w:w="100" w:type="dxa"/>
              <w:right w:w="20" w:type="dxa"/>
            </w:tcMar>
          </w:tcPr>
          <w:p w14:paraId="25D81148"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Grouped SUDs</w:t>
            </w:r>
          </w:p>
        </w:tc>
        <w:tc>
          <w:tcPr>
            <w:tcW w:w="1740" w:type="dxa"/>
            <w:tcBorders>
              <w:top w:val="single" w:sz="8" w:space="0" w:color="000000"/>
              <w:left w:val="nil"/>
              <w:bottom w:val="single" w:sz="8" w:space="0" w:color="000000"/>
              <w:right w:val="nil"/>
            </w:tcBorders>
            <w:tcMar>
              <w:top w:w="20" w:type="dxa"/>
              <w:left w:w="20" w:type="dxa"/>
              <w:bottom w:w="100" w:type="dxa"/>
              <w:right w:w="20" w:type="dxa"/>
            </w:tcMar>
          </w:tcPr>
          <w:p w14:paraId="6D1BB9B1"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Lifetime PTSD</w:t>
            </w:r>
          </w:p>
        </w:tc>
        <w:tc>
          <w:tcPr>
            <w:tcW w:w="1290" w:type="dxa"/>
            <w:tcBorders>
              <w:top w:val="single" w:sz="8" w:space="0" w:color="000000"/>
              <w:left w:val="nil"/>
              <w:bottom w:val="single" w:sz="8" w:space="0" w:color="000000"/>
              <w:right w:val="nil"/>
            </w:tcBorders>
            <w:tcMar>
              <w:top w:w="20" w:type="dxa"/>
              <w:left w:w="20" w:type="dxa"/>
              <w:bottom w:w="100" w:type="dxa"/>
              <w:right w:w="20" w:type="dxa"/>
            </w:tcMar>
          </w:tcPr>
          <w:p w14:paraId="5BAFA087"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Mean ASI</w:t>
            </w:r>
          </w:p>
        </w:tc>
        <w:tc>
          <w:tcPr>
            <w:tcW w:w="1290" w:type="dxa"/>
            <w:tcBorders>
              <w:top w:val="single" w:sz="8" w:space="0" w:color="000000"/>
              <w:left w:val="nil"/>
              <w:bottom w:val="single" w:sz="8" w:space="0" w:color="000000"/>
              <w:right w:val="nil"/>
            </w:tcBorders>
            <w:tcMar>
              <w:top w:w="20" w:type="dxa"/>
              <w:left w:w="20" w:type="dxa"/>
              <w:bottom w:w="100" w:type="dxa"/>
              <w:right w:w="20" w:type="dxa"/>
            </w:tcMar>
          </w:tcPr>
          <w:p w14:paraId="7BAE442A"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Std. Error</w:t>
            </w:r>
          </w:p>
        </w:tc>
        <w:tc>
          <w:tcPr>
            <w:tcW w:w="1695" w:type="dxa"/>
            <w:tcBorders>
              <w:top w:val="single" w:sz="8" w:space="0" w:color="000000"/>
              <w:left w:val="nil"/>
              <w:bottom w:val="single" w:sz="8" w:space="0" w:color="000000"/>
              <w:right w:val="nil"/>
            </w:tcBorders>
            <w:tcMar>
              <w:top w:w="20" w:type="dxa"/>
              <w:left w:w="20" w:type="dxa"/>
              <w:bottom w:w="100" w:type="dxa"/>
              <w:right w:w="20" w:type="dxa"/>
            </w:tcMar>
          </w:tcPr>
          <w:p w14:paraId="6779F964"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95% Confidence Interval</w:t>
            </w:r>
          </w:p>
        </w:tc>
      </w:tr>
      <w:tr w:rsidR="00D90040" w14:paraId="53FB55C6" w14:textId="77777777">
        <w:trPr>
          <w:trHeight w:val="745"/>
        </w:trPr>
        <w:tc>
          <w:tcPr>
            <w:tcW w:w="1770" w:type="dxa"/>
            <w:vMerge w:val="restart"/>
            <w:tcBorders>
              <w:top w:val="single" w:sz="8" w:space="0" w:color="000000"/>
              <w:left w:val="nil"/>
              <w:bottom w:val="nil"/>
              <w:right w:val="nil"/>
            </w:tcBorders>
            <w:tcMar>
              <w:top w:w="20" w:type="dxa"/>
              <w:left w:w="20" w:type="dxa"/>
              <w:bottom w:w="100" w:type="dxa"/>
              <w:right w:w="20" w:type="dxa"/>
            </w:tcMar>
          </w:tcPr>
          <w:p w14:paraId="29007D1F" w14:textId="77777777" w:rsidR="00D90040" w:rsidRDefault="00B46279">
            <w:pPr>
              <w:spacing w:after="20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No Substance Dependence</w:t>
            </w:r>
          </w:p>
        </w:tc>
        <w:tc>
          <w:tcPr>
            <w:tcW w:w="1740" w:type="dxa"/>
            <w:tcBorders>
              <w:top w:val="single" w:sz="8" w:space="0" w:color="000000"/>
              <w:left w:val="nil"/>
              <w:bottom w:val="nil"/>
              <w:right w:val="nil"/>
            </w:tcBorders>
            <w:tcMar>
              <w:top w:w="20" w:type="dxa"/>
              <w:left w:w="20" w:type="dxa"/>
              <w:bottom w:w="100" w:type="dxa"/>
              <w:right w:w="20" w:type="dxa"/>
            </w:tcMar>
          </w:tcPr>
          <w:p w14:paraId="12CCDC44" w14:textId="77777777" w:rsidR="00D90040" w:rsidRDefault="00B46279">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Absent</w:t>
            </w:r>
          </w:p>
        </w:tc>
        <w:tc>
          <w:tcPr>
            <w:tcW w:w="1290" w:type="dxa"/>
            <w:tcBorders>
              <w:top w:val="single" w:sz="8" w:space="0" w:color="000000"/>
              <w:left w:val="nil"/>
              <w:bottom w:val="nil"/>
              <w:right w:val="nil"/>
            </w:tcBorders>
            <w:tcMar>
              <w:top w:w="20" w:type="dxa"/>
              <w:left w:w="20" w:type="dxa"/>
              <w:bottom w:w="100" w:type="dxa"/>
              <w:right w:w="20" w:type="dxa"/>
            </w:tcMar>
          </w:tcPr>
          <w:p w14:paraId="582AD38D"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11.018</w:t>
            </w:r>
          </w:p>
        </w:tc>
        <w:tc>
          <w:tcPr>
            <w:tcW w:w="1290" w:type="dxa"/>
            <w:tcBorders>
              <w:top w:val="single" w:sz="8" w:space="0" w:color="000000"/>
              <w:left w:val="nil"/>
              <w:bottom w:val="nil"/>
              <w:right w:val="nil"/>
            </w:tcBorders>
            <w:tcMar>
              <w:top w:w="20" w:type="dxa"/>
              <w:left w:w="20" w:type="dxa"/>
              <w:bottom w:w="100" w:type="dxa"/>
              <w:right w:w="20" w:type="dxa"/>
            </w:tcMar>
          </w:tcPr>
          <w:p w14:paraId="7E02A08F"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1.126</w:t>
            </w:r>
          </w:p>
        </w:tc>
        <w:tc>
          <w:tcPr>
            <w:tcW w:w="1695" w:type="dxa"/>
            <w:tcBorders>
              <w:top w:val="single" w:sz="8" w:space="0" w:color="000000"/>
              <w:left w:val="nil"/>
              <w:bottom w:val="nil"/>
              <w:right w:val="nil"/>
            </w:tcBorders>
            <w:tcMar>
              <w:top w:w="20" w:type="dxa"/>
              <w:left w:w="20" w:type="dxa"/>
              <w:bottom w:w="100" w:type="dxa"/>
              <w:right w:w="20" w:type="dxa"/>
            </w:tcMar>
          </w:tcPr>
          <w:p w14:paraId="45D69412"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8.808-13.227</w:t>
            </w:r>
          </w:p>
        </w:tc>
      </w:tr>
      <w:tr w:rsidR="00D90040" w14:paraId="40340D1E" w14:textId="77777777">
        <w:trPr>
          <w:trHeight w:val="745"/>
        </w:trPr>
        <w:tc>
          <w:tcPr>
            <w:tcW w:w="1770" w:type="dxa"/>
            <w:vMerge/>
            <w:tcBorders>
              <w:bottom w:val="nil"/>
              <w:right w:val="nil"/>
            </w:tcBorders>
            <w:shd w:val="clear" w:color="auto" w:fill="auto"/>
            <w:tcMar>
              <w:top w:w="100" w:type="dxa"/>
              <w:left w:w="100" w:type="dxa"/>
              <w:bottom w:w="100" w:type="dxa"/>
              <w:right w:w="100" w:type="dxa"/>
            </w:tcMar>
          </w:tcPr>
          <w:p w14:paraId="6C166199" w14:textId="77777777" w:rsidR="00D90040" w:rsidRDefault="00D90040">
            <w:pPr>
              <w:widowControl w:val="0"/>
              <w:rPr>
                <w:rFonts w:ascii="Times New Roman" w:eastAsia="Times New Roman" w:hAnsi="Times New Roman" w:cs="Times New Roman"/>
                <w:b/>
                <w:sz w:val="24"/>
                <w:szCs w:val="24"/>
              </w:rPr>
            </w:pPr>
          </w:p>
        </w:tc>
        <w:tc>
          <w:tcPr>
            <w:tcW w:w="1740" w:type="dxa"/>
            <w:tcBorders>
              <w:top w:val="nil"/>
              <w:left w:val="nil"/>
              <w:bottom w:val="nil"/>
              <w:right w:val="nil"/>
            </w:tcBorders>
            <w:shd w:val="clear" w:color="auto" w:fill="auto"/>
            <w:tcMar>
              <w:top w:w="20" w:type="dxa"/>
              <w:left w:w="20" w:type="dxa"/>
              <w:bottom w:w="100" w:type="dxa"/>
              <w:right w:w="20" w:type="dxa"/>
            </w:tcMar>
          </w:tcPr>
          <w:p w14:paraId="31AB0E2A"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Present</w:t>
            </w:r>
          </w:p>
        </w:tc>
        <w:tc>
          <w:tcPr>
            <w:tcW w:w="1290" w:type="dxa"/>
            <w:tcBorders>
              <w:top w:val="nil"/>
              <w:left w:val="nil"/>
              <w:bottom w:val="nil"/>
              <w:right w:val="nil"/>
            </w:tcBorders>
            <w:shd w:val="clear" w:color="auto" w:fill="auto"/>
            <w:tcMar>
              <w:top w:w="20" w:type="dxa"/>
              <w:left w:w="20" w:type="dxa"/>
              <w:bottom w:w="100" w:type="dxa"/>
              <w:right w:w="20" w:type="dxa"/>
            </w:tcMar>
          </w:tcPr>
          <w:p w14:paraId="0A4B242C"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30.019</w:t>
            </w:r>
          </w:p>
        </w:tc>
        <w:tc>
          <w:tcPr>
            <w:tcW w:w="1290" w:type="dxa"/>
            <w:tcBorders>
              <w:top w:val="nil"/>
              <w:left w:val="nil"/>
              <w:bottom w:val="nil"/>
              <w:right w:val="nil"/>
            </w:tcBorders>
            <w:shd w:val="clear" w:color="auto" w:fill="auto"/>
            <w:tcMar>
              <w:top w:w="20" w:type="dxa"/>
              <w:left w:w="20" w:type="dxa"/>
              <w:bottom w:w="100" w:type="dxa"/>
              <w:right w:w="20" w:type="dxa"/>
            </w:tcMar>
          </w:tcPr>
          <w:p w14:paraId="7FB76753"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3.603</w:t>
            </w:r>
          </w:p>
        </w:tc>
        <w:tc>
          <w:tcPr>
            <w:tcW w:w="1695" w:type="dxa"/>
            <w:tcBorders>
              <w:top w:val="nil"/>
              <w:left w:val="nil"/>
              <w:bottom w:val="nil"/>
              <w:right w:val="nil"/>
            </w:tcBorders>
            <w:shd w:val="clear" w:color="auto" w:fill="auto"/>
            <w:tcMar>
              <w:top w:w="20" w:type="dxa"/>
              <w:left w:w="20" w:type="dxa"/>
              <w:bottom w:w="100" w:type="dxa"/>
              <w:right w:w="20" w:type="dxa"/>
            </w:tcMar>
          </w:tcPr>
          <w:p w14:paraId="3A03D5F6"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22.951-31.371</w:t>
            </w:r>
          </w:p>
        </w:tc>
      </w:tr>
      <w:tr w:rsidR="00D90040" w14:paraId="6C1E5E8F" w14:textId="77777777">
        <w:trPr>
          <w:trHeight w:val="745"/>
        </w:trPr>
        <w:tc>
          <w:tcPr>
            <w:tcW w:w="1770" w:type="dxa"/>
            <w:vMerge w:val="restart"/>
            <w:tcBorders>
              <w:top w:val="nil"/>
              <w:left w:val="nil"/>
              <w:bottom w:val="nil"/>
              <w:right w:val="nil"/>
            </w:tcBorders>
            <w:shd w:val="clear" w:color="auto" w:fill="auto"/>
            <w:tcMar>
              <w:top w:w="20" w:type="dxa"/>
              <w:left w:w="20" w:type="dxa"/>
              <w:bottom w:w="100" w:type="dxa"/>
              <w:right w:w="20" w:type="dxa"/>
            </w:tcMar>
          </w:tcPr>
          <w:p w14:paraId="27E80E11" w14:textId="77777777" w:rsidR="00D90040" w:rsidRDefault="00B46279">
            <w:pPr>
              <w:spacing w:after="20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Single Substance Dependence</w:t>
            </w:r>
          </w:p>
        </w:tc>
        <w:tc>
          <w:tcPr>
            <w:tcW w:w="1740" w:type="dxa"/>
            <w:tcBorders>
              <w:top w:val="nil"/>
              <w:left w:val="nil"/>
              <w:bottom w:val="nil"/>
              <w:right w:val="nil"/>
            </w:tcBorders>
            <w:shd w:val="clear" w:color="auto" w:fill="auto"/>
            <w:tcMar>
              <w:top w:w="20" w:type="dxa"/>
              <w:left w:w="20" w:type="dxa"/>
              <w:bottom w:w="100" w:type="dxa"/>
              <w:right w:w="20" w:type="dxa"/>
            </w:tcMar>
          </w:tcPr>
          <w:p w14:paraId="0C7077AC" w14:textId="77777777" w:rsidR="00D90040" w:rsidRDefault="00B46279">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Absent</w:t>
            </w:r>
          </w:p>
        </w:tc>
        <w:tc>
          <w:tcPr>
            <w:tcW w:w="1290" w:type="dxa"/>
            <w:tcBorders>
              <w:top w:val="nil"/>
              <w:left w:val="nil"/>
              <w:bottom w:val="nil"/>
              <w:right w:val="nil"/>
            </w:tcBorders>
            <w:shd w:val="clear" w:color="auto" w:fill="auto"/>
            <w:tcMar>
              <w:top w:w="20" w:type="dxa"/>
              <w:left w:w="20" w:type="dxa"/>
              <w:bottom w:w="100" w:type="dxa"/>
              <w:right w:w="20" w:type="dxa"/>
            </w:tcMar>
          </w:tcPr>
          <w:p w14:paraId="51ABBEA0"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18.057</w:t>
            </w:r>
          </w:p>
        </w:tc>
        <w:tc>
          <w:tcPr>
            <w:tcW w:w="1290" w:type="dxa"/>
            <w:tcBorders>
              <w:top w:val="nil"/>
              <w:left w:val="nil"/>
              <w:bottom w:val="nil"/>
              <w:right w:val="nil"/>
            </w:tcBorders>
            <w:shd w:val="clear" w:color="auto" w:fill="auto"/>
            <w:tcMar>
              <w:top w:w="20" w:type="dxa"/>
              <w:left w:w="20" w:type="dxa"/>
              <w:bottom w:w="100" w:type="dxa"/>
              <w:right w:w="20" w:type="dxa"/>
            </w:tcMar>
          </w:tcPr>
          <w:p w14:paraId="44BCE25B"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0.788</w:t>
            </w:r>
          </w:p>
        </w:tc>
        <w:tc>
          <w:tcPr>
            <w:tcW w:w="1695" w:type="dxa"/>
            <w:tcBorders>
              <w:top w:val="nil"/>
              <w:left w:val="nil"/>
              <w:bottom w:val="nil"/>
              <w:right w:val="nil"/>
            </w:tcBorders>
            <w:shd w:val="clear" w:color="auto" w:fill="auto"/>
            <w:tcMar>
              <w:top w:w="20" w:type="dxa"/>
              <w:left w:w="20" w:type="dxa"/>
              <w:bottom w:w="100" w:type="dxa"/>
              <w:right w:w="20" w:type="dxa"/>
            </w:tcMar>
          </w:tcPr>
          <w:p w14:paraId="1D449BEC"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16.511-19.604</w:t>
            </w:r>
          </w:p>
        </w:tc>
      </w:tr>
      <w:tr w:rsidR="00D90040" w14:paraId="5CAE426B" w14:textId="77777777">
        <w:trPr>
          <w:trHeight w:val="745"/>
        </w:trPr>
        <w:tc>
          <w:tcPr>
            <w:tcW w:w="1770" w:type="dxa"/>
            <w:vMerge/>
            <w:tcBorders>
              <w:bottom w:val="nil"/>
              <w:right w:val="nil"/>
            </w:tcBorders>
            <w:shd w:val="clear" w:color="auto" w:fill="auto"/>
            <w:tcMar>
              <w:top w:w="100" w:type="dxa"/>
              <w:left w:w="100" w:type="dxa"/>
              <w:bottom w:w="100" w:type="dxa"/>
              <w:right w:w="100" w:type="dxa"/>
            </w:tcMar>
          </w:tcPr>
          <w:p w14:paraId="641E8C22" w14:textId="77777777" w:rsidR="00D90040" w:rsidRDefault="00D90040">
            <w:pPr>
              <w:widowControl w:val="0"/>
              <w:rPr>
                <w:rFonts w:ascii="Times New Roman" w:eastAsia="Times New Roman" w:hAnsi="Times New Roman" w:cs="Times New Roman"/>
                <w:b/>
                <w:sz w:val="24"/>
                <w:szCs w:val="24"/>
              </w:rPr>
            </w:pPr>
          </w:p>
        </w:tc>
        <w:tc>
          <w:tcPr>
            <w:tcW w:w="1740" w:type="dxa"/>
            <w:tcBorders>
              <w:top w:val="nil"/>
              <w:left w:val="nil"/>
              <w:bottom w:val="nil"/>
              <w:right w:val="nil"/>
            </w:tcBorders>
            <w:shd w:val="clear" w:color="auto" w:fill="auto"/>
            <w:tcMar>
              <w:top w:w="20" w:type="dxa"/>
              <w:left w:w="20" w:type="dxa"/>
              <w:bottom w:w="100" w:type="dxa"/>
              <w:right w:w="20" w:type="dxa"/>
            </w:tcMar>
          </w:tcPr>
          <w:p w14:paraId="02F2DBAF"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Present</w:t>
            </w:r>
          </w:p>
        </w:tc>
        <w:tc>
          <w:tcPr>
            <w:tcW w:w="1290" w:type="dxa"/>
            <w:tcBorders>
              <w:top w:val="nil"/>
              <w:left w:val="nil"/>
              <w:bottom w:val="nil"/>
              <w:right w:val="nil"/>
            </w:tcBorders>
            <w:shd w:val="clear" w:color="auto" w:fill="auto"/>
            <w:tcMar>
              <w:top w:w="20" w:type="dxa"/>
              <w:left w:w="20" w:type="dxa"/>
              <w:bottom w:w="100" w:type="dxa"/>
              <w:right w:w="20" w:type="dxa"/>
            </w:tcMar>
          </w:tcPr>
          <w:p w14:paraId="39E26832"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26.592</w:t>
            </w:r>
          </w:p>
        </w:tc>
        <w:tc>
          <w:tcPr>
            <w:tcW w:w="1290" w:type="dxa"/>
            <w:tcBorders>
              <w:top w:val="nil"/>
              <w:left w:val="nil"/>
              <w:bottom w:val="nil"/>
              <w:right w:val="nil"/>
            </w:tcBorders>
            <w:shd w:val="clear" w:color="auto" w:fill="auto"/>
            <w:tcMar>
              <w:top w:w="20" w:type="dxa"/>
              <w:left w:w="20" w:type="dxa"/>
              <w:bottom w:w="100" w:type="dxa"/>
              <w:right w:w="20" w:type="dxa"/>
            </w:tcMar>
          </w:tcPr>
          <w:p w14:paraId="3DC412AB"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1.781</w:t>
            </w:r>
          </w:p>
        </w:tc>
        <w:tc>
          <w:tcPr>
            <w:tcW w:w="1695" w:type="dxa"/>
            <w:tcBorders>
              <w:top w:val="nil"/>
              <w:left w:val="nil"/>
              <w:bottom w:val="nil"/>
              <w:right w:val="nil"/>
            </w:tcBorders>
            <w:shd w:val="clear" w:color="auto" w:fill="auto"/>
            <w:tcMar>
              <w:top w:w="20" w:type="dxa"/>
              <w:left w:w="20" w:type="dxa"/>
              <w:bottom w:w="100" w:type="dxa"/>
              <w:right w:w="20" w:type="dxa"/>
            </w:tcMar>
          </w:tcPr>
          <w:p w14:paraId="260D060F"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23.099-30.085</w:t>
            </w:r>
          </w:p>
        </w:tc>
      </w:tr>
      <w:tr w:rsidR="00D90040" w14:paraId="13F1546F" w14:textId="77777777">
        <w:trPr>
          <w:trHeight w:val="745"/>
        </w:trPr>
        <w:tc>
          <w:tcPr>
            <w:tcW w:w="1770" w:type="dxa"/>
            <w:vMerge w:val="restart"/>
            <w:tcBorders>
              <w:top w:val="nil"/>
              <w:left w:val="nil"/>
              <w:bottom w:val="nil"/>
              <w:right w:val="nil"/>
            </w:tcBorders>
            <w:shd w:val="clear" w:color="auto" w:fill="auto"/>
            <w:tcMar>
              <w:top w:w="20" w:type="dxa"/>
              <w:left w:w="20" w:type="dxa"/>
              <w:bottom w:w="100" w:type="dxa"/>
              <w:right w:w="20" w:type="dxa"/>
            </w:tcMar>
          </w:tcPr>
          <w:p w14:paraId="2436DBF6" w14:textId="77777777" w:rsidR="00D90040" w:rsidRDefault="00B46279">
            <w:pPr>
              <w:spacing w:after="20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Polysubstance dependence</w:t>
            </w:r>
          </w:p>
        </w:tc>
        <w:tc>
          <w:tcPr>
            <w:tcW w:w="1740" w:type="dxa"/>
            <w:tcBorders>
              <w:top w:val="nil"/>
              <w:left w:val="nil"/>
              <w:bottom w:val="nil"/>
              <w:right w:val="nil"/>
            </w:tcBorders>
            <w:shd w:val="clear" w:color="auto" w:fill="auto"/>
            <w:tcMar>
              <w:top w:w="20" w:type="dxa"/>
              <w:left w:w="20" w:type="dxa"/>
              <w:bottom w:w="100" w:type="dxa"/>
              <w:right w:w="20" w:type="dxa"/>
            </w:tcMar>
          </w:tcPr>
          <w:p w14:paraId="67A14515" w14:textId="77777777" w:rsidR="00D90040" w:rsidRDefault="00B46279">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Absent</w:t>
            </w:r>
          </w:p>
        </w:tc>
        <w:tc>
          <w:tcPr>
            <w:tcW w:w="1290" w:type="dxa"/>
            <w:tcBorders>
              <w:top w:val="nil"/>
              <w:left w:val="nil"/>
              <w:bottom w:val="nil"/>
              <w:right w:val="nil"/>
            </w:tcBorders>
            <w:shd w:val="clear" w:color="auto" w:fill="auto"/>
            <w:tcMar>
              <w:top w:w="20" w:type="dxa"/>
              <w:left w:w="20" w:type="dxa"/>
              <w:bottom w:w="100" w:type="dxa"/>
              <w:right w:w="20" w:type="dxa"/>
            </w:tcMar>
          </w:tcPr>
          <w:p w14:paraId="30E412DE"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23.286</w:t>
            </w:r>
          </w:p>
        </w:tc>
        <w:tc>
          <w:tcPr>
            <w:tcW w:w="1290" w:type="dxa"/>
            <w:tcBorders>
              <w:top w:val="nil"/>
              <w:left w:val="nil"/>
              <w:bottom w:val="nil"/>
              <w:right w:val="nil"/>
            </w:tcBorders>
            <w:shd w:val="clear" w:color="auto" w:fill="auto"/>
            <w:tcMar>
              <w:top w:w="20" w:type="dxa"/>
              <w:left w:w="20" w:type="dxa"/>
              <w:bottom w:w="100" w:type="dxa"/>
              <w:right w:w="20" w:type="dxa"/>
            </w:tcMar>
          </w:tcPr>
          <w:p w14:paraId="38B49921"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0.660</w:t>
            </w:r>
          </w:p>
        </w:tc>
        <w:tc>
          <w:tcPr>
            <w:tcW w:w="1695" w:type="dxa"/>
            <w:tcBorders>
              <w:top w:val="nil"/>
              <w:left w:val="nil"/>
              <w:bottom w:val="nil"/>
              <w:right w:val="nil"/>
            </w:tcBorders>
            <w:shd w:val="clear" w:color="auto" w:fill="auto"/>
            <w:tcMar>
              <w:top w:w="20" w:type="dxa"/>
              <w:left w:w="20" w:type="dxa"/>
              <w:bottom w:w="100" w:type="dxa"/>
              <w:right w:w="20" w:type="dxa"/>
            </w:tcMar>
          </w:tcPr>
          <w:p w14:paraId="03634F99"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21.993-24.580</w:t>
            </w:r>
          </w:p>
        </w:tc>
      </w:tr>
      <w:tr w:rsidR="00D90040" w14:paraId="39E32E7C" w14:textId="77777777">
        <w:trPr>
          <w:trHeight w:val="745"/>
        </w:trPr>
        <w:tc>
          <w:tcPr>
            <w:tcW w:w="1770" w:type="dxa"/>
            <w:vMerge/>
            <w:tcBorders>
              <w:bottom w:val="single" w:sz="8" w:space="0" w:color="000000"/>
              <w:right w:val="nil"/>
            </w:tcBorders>
            <w:shd w:val="clear" w:color="auto" w:fill="auto"/>
            <w:tcMar>
              <w:top w:w="100" w:type="dxa"/>
              <w:left w:w="100" w:type="dxa"/>
              <w:bottom w:w="100" w:type="dxa"/>
              <w:right w:w="100" w:type="dxa"/>
            </w:tcMar>
          </w:tcPr>
          <w:p w14:paraId="2C40F47A" w14:textId="77777777" w:rsidR="00D90040" w:rsidRDefault="00D90040">
            <w:pPr>
              <w:widowControl w:val="0"/>
              <w:rPr>
                <w:rFonts w:ascii="Times New Roman" w:eastAsia="Times New Roman" w:hAnsi="Times New Roman" w:cs="Times New Roman"/>
                <w:b/>
                <w:sz w:val="24"/>
                <w:szCs w:val="24"/>
              </w:rPr>
            </w:pPr>
          </w:p>
        </w:tc>
        <w:tc>
          <w:tcPr>
            <w:tcW w:w="1740" w:type="dxa"/>
            <w:tcBorders>
              <w:top w:val="nil"/>
              <w:left w:val="nil"/>
              <w:bottom w:val="single" w:sz="8" w:space="0" w:color="000000"/>
              <w:right w:val="nil"/>
            </w:tcBorders>
            <w:shd w:val="clear" w:color="auto" w:fill="auto"/>
            <w:tcMar>
              <w:top w:w="20" w:type="dxa"/>
              <w:left w:w="20" w:type="dxa"/>
              <w:bottom w:w="100" w:type="dxa"/>
              <w:right w:w="20" w:type="dxa"/>
            </w:tcMar>
          </w:tcPr>
          <w:p w14:paraId="52EFB11B"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Present</w:t>
            </w:r>
          </w:p>
        </w:tc>
        <w:tc>
          <w:tcPr>
            <w:tcW w:w="1290" w:type="dxa"/>
            <w:tcBorders>
              <w:top w:val="nil"/>
              <w:left w:val="nil"/>
              <w:bottom w:val="single" w:sz="8" w:space="0" w:color="000000"/>
              <w:right w:val="nil"/>
            </w:tcBorders>
            <w:shd w:val="clear" w:color="auto" w:fill="auto"/>
            <w:tcMar>
              <w:top w:w="20" w:type="dxa"/>
              <w:left w:w="20" w:type="dxa"/>
              <w:bottom w:w="100" w:type="dxa"/>
              <w:right w:w="20" w:type="dxa"/>
            </w:tcMar>
          </w:tcPr>
          <w:p w14:paraId="506A28E8"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33.575</w:t>
            </w:r>
          </w:p>
        </w:tc>
        <w:tc>
          <w:tcPr>
            <w:tcW w:w="1290" w:type="dxa"/>
            <w:tcBorders>
              <w:top w:val="nil"/>
              <w:left w:val="nil"/>
              <w:bottom w:val="single" w:sz="8" w:space="0" w:color="000000"/>
              <w:right w:val="nil"/>
            </w:tcBorders>
            <w:shd w:val="clear" w:color="auto" w:fill="auto"/>
            <w:tcMar>
              <w:top w:w="20" w:type="dxa"/>
              <w:left w:w="20" w:type="dxa"/>
              <w:bottom w:w="100" w:type="dxa"/>
              <w:right w:w="20" w:type="dxa"/>
            </w:tcMar>
          </w:tcPr>
          <w:p w14:paraId="13B02CCB"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1.193</w:t>
            </w:r>
          </w:p>
        </w:tc>
        <w:tc>
          <w:tcPr>
            <w:tcW w:w="1695" w:type="dxa"/>
            <w:tcBorders>
              <w:top w:val="nil"/>
              <w:left w:val="nil"/>
              <w:bottom w:val="single" w:sz="8" w:space="0" w:color="000000"/>
              <w:right w:val="nil"/>
            </w:tcBorders>
            <w:shd w:val="clear" w:color="auto" w:fill="auto"/>
            <w:tcMar>
              <w:top w:w="20" w:type="dxa"/>
              <w:left w:w="20" w:type="dxa"/>
              <w:bottom w:w="100" w:type="dxa"/>
              <w:right w:w="20" w:type="dxa"/>
            </w:tcMar>
          </w:tcPr>
          <w:p w14:paraId="68B3196C"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31.235-35.915</w:t>
            </w:r>
          </w:p>
        </w:tc>
      </w:tr>
    </w:tbl>
    <w:p w14:paraId="5B7B1440" w14:textId="77777777" w:rsidR="00D90040" w:rsidRDefault="00D90040">
      <w:pPr>
        <w:spacing w:line="240" w:lineRule="auto"/>
        <w:rPr>
          <w:rFonts w:ascii="Times New Roman" w:eastAsia="Times New Roman" w:hAnsi="Times New Roman" w:cs="Times New Roman"/>
          <w:sz w:val="24"/>
          <w:szCs w:val="24"/>
        </w:rPr>
      </w:pPr>
    </w:p>
    <w:p w14:paraId="1BC4C6D9" w14:textId="77777777" w:rsidR="00D90040" w:rsidRDefault="00D90040">
      <w:pPr>
        <w:spacing w:line="240" w:lineRule="auto"/>
        <w:rPr>
          <w:rFonts w:ascii="Times New Roman" w:eastAsia="Times New Roman" w:hAnsi="Times New Roman" w:cs="Times New Roman"/>
          <w:sz w:val="24"/>
          <w:szCs w:val="24"/>
        </w:rPr>
      </w:pPr>
    </w:p>
    <w:p w14:paraId="670D4660" w14:textId="77777777" w:rsidR="00D90040" w:rsidRDefault="00D90040">
      <w:pPr>
        <w:spacing w:line="240" w:lineRule="auto"/>
        <w:rPr>
          <w:rFonts w:ascii="Times New Roman" w:eastAsia="Times New Roman" w:hAnsi="Times New Roman" w:cs="Times New Roman"/>
          <w:sz w:val="24"/>
          <w:szCs w:val="24"/>
        </w:rPr>
      </w:pPr>
    </w:p>
    <w:p w14:paraId="0351BF06" w14:textId="77777777" w:rsidR="00D90040" w:rsidRDefault="00D90040">
      <w:pPr>
        <w:spacing w:line="240" w:lineRule="auto"/>
        <w:rPr>
          <w:rFonts w:ascii="Times New Roman" w:eastAsia="Times New Roman" w:hAnsi="Times New Roman" w:cs="Times New Roman"/>
          <w:sz w:val="24"/>
          <w:szCs w:val="24"/>
        </w:rPr>
      </w:pPr>
    </w:p>
    <w:p w14:paraId="7219FD1A" w14:textId="77777777" w:rsidR="00D90040" w:rsidRDefault="00B46279">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Figure 2</w:t>
      </w:r>
    </w:p>
    <w:p w14:paraId="6A0FC9ED" w14:textId="77777777" w:rsidR="00D90040" w:rsidRDefault="00D90040">
      <w:pPr>
        <w:spacing w:line="240" w:lineRule="auto"/>
        <w:rPr>
          <w:rFonts w:ascii="Times New Roman" w:eastAsia="Times New Roman" w:hAnsi="Times New Roman" w:cs="Times New Roman"/>
          <w:sz w:val="24"/>
          <w:szCs w:val="24"/>
        </w:rPr>
      </w:pPr>
    </w:p>
    <w:p w14:paraId="7AC28733" w14:textId="77777777" w:rsidR="00D90040" w:rsidRDefault="00B46279">
      <w:pP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ASI Scores for Grouped Lifetime SUDs</w:t>
      </w:r>
    </w:p>
    <w:p w14:paraId="13C9A445" w14:textId="77777777" w:rsidR="00D90040" w:rsidRDefault="00D90040">
      <w:pPr>
        <w:spacing w:line="240" w:lineRule="auto"/>
        <w:rPr>
          <w:rFonts w:ascii="Times New Roman" w:eastAsia="Times New Roman" w:hAnsi="Times New Roman" w:cs="Times New Roman"/>
          <w:i/>
          <w:sz w:val="24"/>
          <w:szCs w:val="24"/>
        </w:rPr>
      </w:pPr>
    </w:p>
    <w:p w14:paraId="39AF9E8B" w14:textId="77777777" w:rsidR="00D90040" w:rsidRDefault="00B46279">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rPr>
        <w:drawing>
          <wp:inline distT="114300" distB="114300" distL="114300" distR="114300" wp14:anchorId="56CD7E50" wp14:editId="2473988F">
            <wp:extent cx="5128012" cy="2919413"/>
            <wp:effectExtent l="0" t="0" r="0" b="0"/>
            <wp:docPr id="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3"/>
                    <a:srcRect/>
                    <a:stretch>
                      <a:fillRect/>
                    </a:stretch>
                  </pic:blipFill>
                  <pic:spPr>
                    <a:xfrm>
                      <a:off x="0" y="0"/>
                      <a:ext cx="5128012" cy="2919413"/>
                    </a:xfrm>
                    <a:prstGeom prst="rect">
                      <a:avLst/>
                    </a:prstGeom>
                    <a:ln/>
                  </pic:spPr>
                </pic:pic>
              </a:graphicData>
            </a:graphic>
          </wp:inline>
        </w:drawing>
      </w:r>
    </w:p>
    <w:p w14:paraId="21620C2C" w14:textId="77777777" w:rsidR="00D90040" w:rsidRDefault="00D90040">
      <w:pPr>
        <w:spacing w:after="200" w:line="240" w:lineRule="auto"/>
        <w:rPr>
          <w:rFonts w:ascii="Times New Roman" w:eastAsia="Times New Roman" w:hAnsi="Times New Roman" w:cs="Times New Roman"/>
          <w:sz w:val="24"/>
          <w:szCs w:val="24"/>
        </w:rPr>
      </w:pPr>
    </w:p>
    <w:p w14:paraId="4979A703" w14:textId="77777777" w:rsidR="00D90040" w:rsidRDefault="00B46279">
      <w:pPr>
        <w:spacing w:after="20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7</w:t>
      </w:r>
    </w:p>
    <w:p w14:paraId="5B08EC50" w14:textId="77777777" w:rsidR="00D90040" w:rsidRDefault="00B46279">
      <w:pPr>
        <w:spacing w:after="200"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Effect of PTSD and Current SUDs Class on ASI</w:t>
      </w:r>
    </w:p>
    <w:tbl>
      <w:tblPr>
        <w:tblStyle w:val="a5"/>
        <w:tblW w:w="6975" w:type="dxa"/>
        <w:tblBorders>
          <w:top w:val="nil"/>
          <w:left w:val="nil"/>
          <w:bottom w:val="nil"/>
          <w:right w:val="nil"/>
          <w:insideH w:val="nil"/>
          <w:insideV w:val="nil"/>
        </w:tblBorders>
        <w:tblLayout w:type="fixed"/>
        <w:tblLook w:val="0600" w:firstRow="0" w:lastRow="0" w:firstColumn="0" w:lastColumn="0" w:noHBand="1" w:noVBand="1"/>
      </w:tblPr>
      <w:tblGrid>
        <w:gridCol w:w="1875"/>
        <w:gridCol w:w="1230"/>
        <w:gridCol w:w="1395"/>
        <w:gridCol w:w="2475"/>
      </w:tblGrid>
      <w:tr w:rsidR="00D90040" w14:paraId="58BDA903" w14:textId="77777777">
        <w:trPr>
          <w:trHeight w:val="765"/>
        </w:trPr>
        <w:tc>
          <w:tcPr>
            <w:tcW w:w="1875" w:type="dxa"/>
            <w:tcBorders>
              <w:top w:val="single" w:sz="8" w:space="0" w:color="000000"/>
              <w:left w:val="nil"/>
              <w:bottom w:val="single" w:sz="8" w:space="0" w:color="000000"/>
              <w:right w:val="nil"/>
            </w:tcBorders>
            <w:tcMar>
              <w:top w:w="100" w:type="dxa"/>
              <w:left w:w="100" w:type="dxa"/>
              <w:bottom w:w="100" w:type="dxa"/>
              <w:right w:w="100" w:type="dxa"/>
            </w:tcMar>
          </w:tcPr>
          <w:p w14:paraId="005EAB2F"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Variable</w:t>
            </w:r>
          </w:p>
        </w:tc>
        <w:tc>
          <w:tcPr>
            <w:tcW w:w="1230" w:type="dxa"/>
            <w:tcBorders>
              <w:top w:val="single" w:sz="8" w:space="0" w:color="000000"/>
              <w:left w:val="nil"/>
              <w:bottom w:val="single" w:sz="8" w:space="0" w:color="000000"/>
              <w:right w:val="nil"/>
            </w:tcBorders>
            <w:tcMar>
              <w:top w:w="100" w:type="dxa"/>
              <w:left w:w="100" w:type="dxa"/>
              <w:bottom w:w="100" w:type="dxa"/>
              <w:right w:w="100" w:type="dxa"/>
            </w:tcMar>
          </w:tcPr>
          <w:p w14:paraId="4AD9CFB0" w14:textId="77777777" w:rsidR="00D90040" w:rsidRDefault="00B46279">
            <w:pP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F</w:t>
            </w:r>
          </w:p>
        </w:tc>
        <w:tc>
          <w:tcPr>
            <w:tcW w:w="1395" w:type="dxa"/>
            <w:tcBorders>
              <w:top w:val="single" w:sz="8" w:space="0" w:color="000000"/>
              <w:left w:val="nil"/>
              <w:bottom w:val="single" w:sz="8" w:space="0" w:color="000000"/>
              <w:right w:val="nil"/>
            </w:tcBorders>
            <w:tcMar>
              <w:top w:w="100" w:type="dxa"/>
              <w:left w:w="100" w:type="dxa"/>
              <w:bottom w:w="100" w:type="dxa"/>
              <w:right w:w="100" w:type="dxa"/>
            </w:tcMar>
          </w:tcPr>
          <w:p w14:paraId="210173D3" w14:textId="77777777" w:rsidR="00D90040" w:rsidRDefault="00B46279">
            <w:pPr>
              <w:spacing w:line="240" w:lineRule="auto"/>
              <w:rPr>
                <w:rFonts w:ascii="Times New Roman" w:eastAsia="Times New Roman" w:hAnsi="Times New Roman" w:cs="Times New Roman"/>
                <w:i/>
                <w:sz w:val="24"/>
                <w:szCs w:val="24"/>
              </w:rPr>
            </w:pPr>
            <w:proofErr w:type="spellStart"/>
            <w:r>
              <w:rPr>
                <w:rFonts w:ascii="Times New Roman" w:eastAsia="Times New Roman" w:hAnsi="Times New Roman" w:cs="Times New Roman"/>
                <w:i/>
                <w:sz w:val="24"/>
                <w:szCs w:val="24"/>
              </w:rPr>
              <w:t>df</w:t>
            </w:r>
            <w:proofErr w:type="spellEnd"/>
          </w:p>
        </w:tc>
        <w:tc>
          <w:tcPr>
            <w:tcW w:w="2475" w:type="dxa"/>
            <w:tcBorders>
              <w:top w:val="single" w:sz="8" w:space="0" w:color="000000"/>
              <w:left w:val="nil"/>
              <w:bottom w:val="single" w:sz="8" w:space="0" w:color="000000"/>
              <w:right w:val="nil"/>
            </w:tcBorders>
            <w:tcMar>
              <w:top w:w="100" w:type="dxa"/>
              <w:left w:w="100" w:type="dxa"/>
              <w:bottom w:w="100" w:type="dxa"/>
              <w:right w:w="100" w:type="dxa"/>
            </w:tcMar>
          </w:tcPr>
          <w:p w14:paraId="4FC52232"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Significance (p-value)</w:t>
            </w:r>
          </w:p>
        </w:tc>
      </w:tr>
      <w:tr w:rsidR="00D90040" w14:paraId="0FB7890D" w14:textId="77777777">
        <w:trPr>
          <w:trHeight w:val="840"/>
        </w:trPr>
        <w:tc>
          <w:tcPr>
            <w:tcW w:w="1875" w:type="dxa"/>
            <w:tcBorders>
              <w:top w:val="nil"/>
              <w:left w:val="nil"/>
              <w:bottom w:val="nil"/>
              <w:right w:val="nil"/>
            </w:tcBorders>
            <w:tcMar>
              <w:top w:w="100" w:type="dxa"/>
              <w:left w:w="100" w:type="dxa"/>
              <w:bottom w:w="100" w:type="dxa"/>
              <w:right w:w="100" w:type="dxa"/>
            </w:tcMar>
          </w:tcPr>
          <w:p w14:paraId="7F09B18D"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Age</w:t>
            </w:r>
          </w:p>
        </w:tc>
        <w:tc>
          <w:tcPr>
            <w:tcW w:w="1230" w:type="dxa"/>
            <w:tcBorders>
              <w:top w:val="nil"/>
              <w:left w:val="nil"/>
              <w:bottom w:val="nil"/>
              <w:right w:val="nil"/>
            </w:tcBorders>
            <w:tcMar>
              <w:top w:w="100" w:type="dxa"/>
              <w:left w:w="100" w:type="dxa"/>
              <w:bottom w:w="100" w:type="dxa"/>
              <w:right w:w="100" w:type="dxa"/>
            </w:tcMar>
          </w:tcPr>
          <w:p w14:paraId="31ED69C8"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14.3520</w:t>
            </w:r>
          </w:p>
        </w:tc>
        <w:tc>
          <w:tcPr>
            <w:tcW w:w="1395" w:type="dxa"/>
            <w:tcBorders>
              <w:top w:val="nil"/>
              <w:left w:val="nil"/>
              <w:bottom w:val="nil"/>
              <w:right w:val="nil"/>
            </w:tcBorders>
            <w:tcMar>
              <w:top w:w="100" w:type="dxa"/>
              <w:left w:w="100" w:type="dxa"/>
              <w:bottom w:w="100" w:type="dxa"/>
              <w:right w:w="100" w:type="dxa"/>
            </w:tcMar>
          </w:tcPr>
          <w:p w14:paraId="7BFFE55C"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1, 1490</w:t>
            </w:r>
          </w:p>
        </w:tc>
        <w:tc>
          <w:tcPr>
            <w:tcW w:w="2475" w:type="dxa"/>
            <w:tcBorders>
              <w:top w:val="nil"/>
              <w:left w:val="nil"/>
              <w:bottom w:val="nil"/>
              <w:right w:val="nil"/>
            </w:tcBorders>
            <w:tcMar>
              <w:top w:w="100" w:type="dxa"/>
              <w:left w:w="100" w:type="dxa"/>
              <w:bottom w:w="100" w:type="dxa"/>
              <w:right w:w="100" w:type="dxa"/>
            </w:tcMar>
          </w:tcPr>
          <w:p w14:paraId="230EF41C"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&lt;0.001***</w:t>
            </w:r>
          </w:p>
        </w:tc>
      </w:tr>
      <w:tr w:rsidR="00D90040" w14:paraId="24FE346F" w14:textId="77777777">
        <w:trPr>
          <w:trHeight w:val="840"/>
        </w:trPr>
        <w:tc>
          <w:tcPr>
            <w:tcW w:w="1875" w:type="dxa"/>
            <w:tcBorders>
              <w:top w:val="nil"/>
              <w:left w:val="nil"/>
              <w:bottom w:val="nil"/>
              <w:right w:val="nil"/>
            </w:tcBorders>
            <w:tcMar>
              <w:top w:w="100" w:type="dxa"/>
              <w:left w:w="100" w:type="dxa"/>
              <w:bottom w:w="100" w:type="dxa"/>
              <w:right w:w="100" w:type="dxa"/>
            </w:tcMar>
          </w:tcPr>
          <w:p w14:paraId="0F117804"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Gender</w:t>
            </w:r>
          </w:p>
        </w:tc>
        <w:tc>
          <w:tcPr>
            <w:tcW w:w="1230" w:type="dxa"/>
            <w:tcBorders>
              <w:top w:val="nil"/>
              <w:left w:val="nil"/>
              <w:bottom w:val="nil"/>
              <w:right w:val="nil"/>
            </w:tcBorders>
            <w:tcMar>
              <w:top w:w="100" w:type="dxa"/>
              <w:left w:w="100" w:type="dxa"/>
              <w:bottom w:w="100" w:type="dxa"/>
              <w:right w:w="100" w:type="dxa"/>
            </w:tcMar>
          </w:tcPr>
          <w:p w14:paraId="2C35DF16"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2.2616</w:t>
            </w:r>
          </w:p>
        </w:tc>
        <w:tc>
          <w:tcPr>
            <w:tcW w:w="1395" w:type="dxa"/>
            <w:tcBorders>
              <w:top w:val="nil"/>
              <w:left w:val="nil"/>
              <w:bottom w:val="nil"/>
              <w:right w:val="nil"/>
            </w:tcBorders>
            <w:tcMar>
              <w:top w:w="100" w:type="dxa"/>
              <w:left w:w="100" w:type="dxa"/>
              <w:bottom w:w="100" w:type="dxa"/>
              <w:right w:w="100" w:type="dxa"/>
            </w:tcMar>
          </w:tcPr>
          <w:p w14:paraId="29BC1A39"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1, 1490</w:t>
            </w:r>
          </w:p>
        </w:tc>
        <w:tc>
          <w:tcPr>
            <w:tcW w:w="2475" w:type="dxa"/>
            <w:tcBorders>
              <w:top w:val="nil"/>
              <w:left w:val="nil"/>
              <w:bottom w:val="nil"/>
              <w:right w:val="nil"/>
            </w:tcBorders>
            <w:tcMar>
              <w:top w:w="100" w:type="dxa"/>
              <w:left w:w="100" w:type="dxa"/>
              <w:bottom w:w="100" w:type="dxa"/>
              <w:right w:w="100" w:type="dxa"/>
            </w:tcMar>
          </w:tcPr>
          <w:p w14:paraId="3046BE45"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0.13</w:t>
            </w:r>
          </w:p>
        </w:tc>
      </w:tr>
      <w:tr w:rsidR="00D90040" w14:paraId="318889E0" w14:textId="77777777">
        <w:trPr>
          <w:trHeight w:val="900"/>
        </w:trPr>
        <w:tc>
          <w:tcPr>
            <w:tcW w:w="1875" w:type="dxa"/>
            <w:tcBorders>
              <w:top w:val="nil"/>
              <w:left w:val="nil"/>
              <w:bottom w:val="nil"/>
              <w:right w:val="nil"/>
            </w:tcBorders>
            <w:tcMar>
              <w:top w:w="100" w:type="dxa"/>
              <w:left w:w="100" w:type="dxa"/>
              <w:bottom w:w="100" w:type="dxa"/>
              <w:right w:w="100" w:type="dxa"/>
            </w:tcMar>
          </w:tcPr>
          <w:p w14:paraId="472E5839"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Income</w:t>
            </w:r>
          </w:p>
        </w:tc>
        <w:tc>
          <w:tcPr>
            <w:tcW w:w="1230" w:type="dxa"/>
            <w:tcBorders>
              <w:top w:val="nil"/>
              <w:left w:val="nil"/>
              <w:bottom w:val="nil"/>
              <w:right w:val="nil"/>
            </w:tcBorders>
            <w:tcMar>
              <w:top w:w="100" w:type="dxa"/>
              <w:left w:w="100" w:type="dxa"/>
              <w:bottom w:w="100" w:type="dxa"/>
              <w:right w:w="100" w:type="dxa"/>
            </w:tcMar>
          </w:tcPr>
          <w:p w14:paraId="57FB4AA3"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6.2198</w:t>
            </w:r>
          </w:p>
        </w:tc>
        <w:tc>
          <w:tcPr>
            <w:tcW w:w="1395" w:type="dxa"/>
            <w:tcBorders>
              <w:top w:val="nil"/>
              <w:left w:val="nil"/>
              <w:bottom w:val="nil"/>
              <w:right w:val="nil"/>
            </w:tcBorders>
            <w:tcMar>
              <w:top w:w="100" w:type="dxa"/>
              <w:left w:w="100" w:type="dxa"/>
              <w:bottom w:w="100" w:type="dxa"/>
              <w:right w:w="100" w:type="dxa"/>
            </w:tcMar>
          </w:tcPr>
          <w:p w14:paraId="5E6B3770"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1, 1490</w:t>
            </w:r>
          </w:p>
        </w:tc>
        <w:tc>
          <w:tcPr>
            <w:tcW w:w="2475" w:type="dxa"/>
            <w:tcBorders>
              <w:top w:val="nil"/>
              <w:left w:val="nil"/>
              <w:bottom w:val="nil"/>
              <w:right w:val="nil"/>
            </w:tcBorders>
            <w:tcMar>
              <w:top w:w="100" w:type="dxa"/>
              <w:left w:w="100" w:type="dxa"/>
              <w:bottom w:w="100" w:type="dxa"/>
              <w:right w:w="100" w:type="dxa"/>
            </w:tcMar>
          </w:tcPr>
          <w:p w14:paraId="523AB6ED"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0.013*</w:t>
            </w:r>
          </w:p>
        </w:tc>
      </w:tr>
      <w:tr w:rsidR="00D90040" w14:paraId="3B278ECA" w14:textId="77777777">
        <w:trPr>
          <w:trHeight w:val="1080"/>
        </w:trPr>
        <w:tc>
          <w:tcPr>
            <w:tcW w:w="1875" w:type="dxa"/>
            <w:tcBorders>
              <w:top w:val="nil"/>
              <w:left w:val="nil"/>
              <w:bottom w:val="nil"/>
              <w:right w:val="nil"/>
            </w:tcBorders>
            <w:tcMar>
              <w:top w:w="100" w:type="dxa"/>
              <w:left w:w="100" w:type="dxa"/>
              <w:bottom w:w="100" w:type="dxa"/>
              <w:right w:w="100" w:type="dxa"/>
            </w:tcMar>
          </w:tcPr>
          <w:p w14:paraId="5E1E1FCE"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Current SUDs Class</w:t>
            </w:r>
          </w:p>
        </w:tc>
        <w:tc>
          <w:tcPr>
            <w:tcW w:w="1230" w:type="dxa"/>
            <w:tcBorders>
              <w:top w:val="nil"/>
              <w:left w:val="nil"/>
              <w:bottom w:val="nil"/>
              <w:right w:val="nil"/>
            </w:tcBorders>
            <w:tcMar>
              <w:top w:w="100" w:type="dxa"/>
              <w:left w:w="100" w:type="dxa"/>
              <w:bottom w:w="100" w:type="dxa"/>
              <w:right w:w="100" w:type="dxa"/>
            </w:tcMar>
          </w:tcPr>
          <w:p w14:paraId="44B6FBFA"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12.0003</w:t>
            </w:r>
          </w:p>
        </w:tc>
        <w:tc>
          <w:tcPr>
            <w:tcW w:w="1395" w:type="dxa"/>
            <w:tcBorders>
              <w:top w:val="nil"/>
              <w:left w:val="nil"/>
              <w:bottom w:val="nil"/>
              <w:right w:val="nil"/>
            </w:tcBorders>
            <w:tcMar>
              <w:top w:w="100" w:type="dxa"/>
              <w:left w:w="100" w:type="dxa"/>
              <w:bottom w:w="100" w:type="dxa"/>
              <w:right w:w="100" w:type="dxa"/>
            </w:tcMar>
          </w:tcPr>
          <w:p w14:paraId="3AED6D01"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5, 1490</w:t>
            </w:r>
          </w:p>
        </w:tc>
        <w:tc>
          <w:tcPr>
            <w:tcW w:w="2475" w:type="dxa"/>
            <w:tcBorders>
              <w:top w:val="nil"/>
              <w:left w:val="nil"/>
              <w:bottom w:val="nil"/>
              <w:right w:val="nil"/>
            </w:tcBorders>
            <w:tcMar>
              <w:top w:w="100" w:type="dxa"/>
              <w:left w:w="100" w:type="dxa"/>
              <w:bottom w:w="100" w:type="dxa"/>
              <w:right w:w="100" w:type="dxa"/>
            </w:tcMar>
          </w:tcPr>
          <w:p w14:paraId="417B8845"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&lt;0.001***</w:t>
            </w:r>
          </w:p>
        </w:tc>
      </w:tr>
      <w:tr w:rsidR="00D90040" w14:paraId="39A14F12" w14:textId="77777777">
        <w:trPr>
          <w:trHeight w:val="915"/>
        </w:trPr>
        <w:tc>
          <w:tcPr>
            <w:tcW w:w="1875" w:type="dxa"/>
            <w:tcBorders>
              <w:top w:val="nil"/>
              <w:left w:val="nil"/>
              <w:bottom w:val="nil"/>
              <w:right w:val="nil"/>
            </w:tcBorders>
            <w:tcMar>
              <w:top w:w="100" w:type="dxa"/>
              <w:left w:w="100" w:type="dxa"/>
              <w:bottom w:w="100" w:type="dxa"/>
              <w:right w:w="100" w:type="dxa"/>
            </w:tcMar>
          </w:tcPr>
          <w:p w14:paraId="779DBF69"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Lifetime PTSD</w:t>
            </w:r>
          </w:p>
        </w:tc>
        <w:tc>
          <w:tcPr>
            <w:tcW w:w="1230" w:type="dxa"/>
            <w:tcBorders>
              <w:top w:val="nil"/>
              <w:left w:val="nil"/>
              <w:bottom w:val="nil"/>
              <w:right w:val="nil"/>
            </w:tcBorders>
            <w:tcMar>
              <w:top w:w="100" w:type="dxa"/>
              <w:left w:w="100" w:type="dxa"/>
              <w:bottom w:w="100" w:type="dxa"/>
              <w:right w:w="100" w:type="dxa"/>
            </w:tcMar>
          </w:tcPr>
          <w:p w14:paraId="79C50BCA"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105.6371</w:t>
            </w:r>
          </w:p>
        </w:tc>
        <w:tc>
          <w:tcPr>
            <w:tcW w:w="1395" w:type="dxa"/>
            <w:tcBorders>
              <w:top w:val="nil"/>
              <w:left w:val="nil"/>
              <w:bottom w:val="nil"/>
              <w:right w:val="nil"/>
            </w:tcBorders>
            <w:tcMar>
              <w:top w:w="100" w:type="dxa"/>
              <w:left w:w="100" w:type="dxa"/>
              <w:bottom w:w="100" w:type="dxa"/>
              <w:right w:w="100" w:type="dxa"/>
            </w:tcMar>
          </w:tcPr>
          <w:p w14:paraId="17622CE9"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1, 1490</w:t>
            </w:r>
          </w:p>
        </w:tc>
        <w:tc>
          <w:tcPr>
            <w:tcW w:w="2475" w:type="dxa"/>
            <w:tcBorders>
              <w:top w:val="nil"/>
              <w:left w:val="nil"/>
              <w:bottom w:val="nil"/>
              <w:right w:val="nil"/>
            </w:tcBorders>
            <w:tcMar>
              <w:top w:w="100" w:type="dxa"/>
              <w:left w:w="100" w:type="dxa"/>
              <w:bottom w:w="100" w:type="dxa"/>
              <w:right w:w="100" w:type="dxa"/>
            </w:tcMar>
          </w:tcPr>
          <w:p w14:paraId="2C61A91C"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&lt;0.001***</w:t>
            </w:r>
          </w:p>
        </w:tc>
      </w:tr>
      <w:tr w:rsidR="00D90040" w14:paraId="3CE5642A" w14:textId="77777777">
        <w:trPr>
          <w:trHeight w:val="1340"/>
        </w:trPr>
        <w:tc>
          <w:tcPr>
            <w:tcW w:w="1875" w:type="dxa"/>
            <w:tcBorders>
              <w:top w:val="nil"/>
              <w:left w:val="nil"/>
              <w:bottom w:val="single" w:sz="8" w:space="0" w:color="000000"/>
              <w:right w:val="nil"/>
            </w:tcBorders>
            <w:tcMar>
              <w:top w:w="100" w:type="dxa"/>
              <w:left w:w="100" w:type="dxa"/>
              <w:bottom w:w="100" w:type="dxa"/>
              <w:right w:w="100" w:type="dxa"/>
            </w:tcMar>
          </w:tcPr>
          <w:p w14:paraId="7C632C58"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Lifetime PTSD*Current SUDs Class</w:t>
            </w:r>
          </w:p>
        </w:tc>
        <w:tc>
          <w:tcPr>
            <w:tcW w:w="1230" w:type="dxa"/>
            <w:tcBorders>
              <w:top w:val="nil"/>
              <w:left w:val="nil"/>
              <w:bottom w:val="single" w:sz="8" w:space="0" w:color="000000"/>
              <w:right w:val="nil"/>
            </w:tcBorders>
            <w:tcMar>
              <w:top w:w="100" w:type="dxa"/>
              <w:left w:w="100" w:type="dxa"/>
              <w:bottom w:w="100" w:type="dxa"/>
              <w:right w:w="100" w:type="dxa"/>
            </w:tcMar>
          </w:tcPr>
          <w:p w14:paraId="03A91EC3"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2.3836</w:t>
            </w:r>
          </w:p>
        </w:tc>
        <w:tc>
          <w:tcPr>
            <w:tcW w:w="1395" w:type="dxa"/>
            <w:tcBorders>
              <w:top w:val="nil"/>
              <w:left w:val="nil"/>
              <w:bottom w:val="single" w:sz="8" w:space="0" w:color="000000"/>
              <w:right w:val="nil"/>
            </w:tcBorders>
            <w:tcMar>
              <w:top w:w="100" w:type="dxa"/>
              <w:left w:w="100" w:type="dxa"/>
              <w:bottom w:w="100" w:type="dxa"/>
              <w:right w:w="100" w:type="dxa"/>
            </w:tcMar>
          </w:tcPr>
          <w:p w14:paraId="0A0DDCCF"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5, 1490</w:t>
            </w:r>
          </w:p>
        </w:tc>
        <w:tc>
          <w:tcPr>
            <w:tcW w:w="2475" w:type="dxa"/>
            <w:tcBorders>
              <w:top w:val="nil"/>
              <w:left w:val="nil"/>
              <w:bottom w:val="single" w:sz="8" w:space="0" w:color="000000"/>
              <w:right w:val="nil"/>
            </w:tcBorders>
            <w:tcMar>
              <w:top w:w="100" w:type="dxa"/>
              <w:left w:w="100" w:type="dxa"/>
              <w:bottom w:w="100" w:type="dxa"/>
              <w:right w:w="100" w:type="dxa"/>
            </w:tcMar>
          </w:tcPr>
          <w:p w14:paraId="50DCACFE"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0.036*</w:t>
            </w:r>
          </w:p>
        </w:tc>
      </w:tr>
    </w:tbl>
    <w:p w14:paraId="47407B92"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p-value &lt;0.001***, &lt;0.01**, &lt;.05*</w:t>
      </w:r>
    </w:p>
    <w:p w14:paraId="0FD1617D" w14:textId="77777777" w:rsidR="00D90040" w:rsidRDefault="00D90040">
      <w:pPr>
        <w:spacing w:line="240" w:lineRule="auto"/>
        <w:rPr>
          <w:rFonts w:ascii="Times New Roman" w:eastAsia="Times New Roman" w:hAnsi="Times New Roman" w:cs="Times New Roman"/>
          <w:sz w:val="24"/>
          <w:szCs w:val="24"/>
        </w:rPr>
      </w:pPr>
    </w:p>
    <w:p w14:paraId="6E95BCE4" w14:textId="77777777" w:rsidR="00D90040" w:rsidRDefault="00D90040">
      <w:pPr>
        <w:spacing w:line="240" w:lineRule="auto"/>
        <w:rPr>
          <w:rFonts w:ascii="Times New Roman" w:eastAsia="Times New Roman" w:hAnsi="Times New Roman" w:cs="Times New Roman"/>
          <w:sz w:val="24"/>
          <w:szCs w:val="24"/>
        </w:rPr>
      </w:pPr>
    </w:p>
    <w:p w14:paraId="017C77C9" w14:textId="77777777" w:rsidR="00D90040" w:rsidRDefault="00B46279">
      <w:pPr>
        <w:spacing w:after="20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8</w:t>
      </w:r>
    </w:p>
    <w:p w14:paraId="1F0BFE5D" w14:textId="77777777" w:rsidR="00D90040" w:rsidRDefault="00B46279">
      <w:pPr>
        <w:spacing w:after="200" w:line="240" w:lineRule="auto"/>
        <w:rPr>
          <w:rFonts w:ascii="Times New Roman" w:eastAsia="Times New Roman" w:hAnsi="Times New Roman" w:cs="Times New Roman"/>
          <w:b/>
          <w:sz w:val="24"/>
          <w:szCs w:val="24"/>
        </w:rPr>
      </w:pPr>
      <w:r>
        <w:rPr>
          <w:rFonts w:ascii="Times New Roman" w:eastAsia="Times New Roman" w:hAnsi="Times New Roman" w:cs="Times New Roman"/>
          <w:i/>
          <w:sz w:val="24"/>
          <w:szCs w:val="24"/>
        </w:rPr>
        <w:t>Estimated Marginal Means for Interaction of PTSD and Current SUDs Class on ASI</w:t>
      </w:r>
    </w:p>
    <w:tbl>
      <w:tblPr>
        <w:tblStyle w:val="a6"/>
        <w:tblW w:w="7785" w:type="dxa"/>
        <w:tblBorders>
          <w:top w:val="nil"/>
          <w:left w:val="nil"/>
          <w:bottom w:val="nil"/>
          <w:right w:val="nil"/>
          <w:insideH w:val="nil"/>
          <w:insideV w:val="nil"/>
        </w:tblBorders>
        <w:tblLayout w:type="fixed"/>
        <w:tblLook w:val="0600" w:firstRow="0" w:lastRow="0" w:firstColumn="0" w:lastColumn="0" w:noHBand="1" w:noVBand="1"/>
      </w:tblPr>
      <w:tblGrid>
        <w:gridCol w:w="1770"/>
        <w:gridCol w:w="1740"/>
        <w:gridCol w:w="1290"/>
        <w:gridCol w:w="1290"/>
        <w:gridCol w:w="1695"/>
      </w:tblGrid>
      <w:tr w:rsidR="00D90040" w14:paraId="11057D87" w14:textId="77777777">
        <w:trPr>
          <w:trHeight w:val="1060"/>
        </w:trPr>
        <w:tc>
          <w:tcPr>
            <w:tcW w:w="1770" w:type="dxa"/>
            <w:tcBorders>
              <w:top w:val="single" w:sz="8" w:space="0" w:color="000000"/>
              <w:left w:val="nil"/>
              <w:bottom w:val="single" w:sz="8" w:space="0" w:color="000000"/>
              <w:right w:val="nil"/>
            </w:tcBorders>
            <w:tcMar>
              <w:top w:w="20" w:type="dxa"/>
              <w:left w:w="20" w:type="dxa"/>
              <w:bottom w:w="100" w:type="dxa"/>
              <w:right w:w="20" w:type="dxa"/>
            </w:tcMar>
          </w:tcPr>
          <w:p w14:paraId="2A29ECEF"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SUDs Class</w:t>
            </w:r>
          </w:p>
        </w:tc>
        <w:tc>
          <w:tcPr>
            <w:tcW w:w="1740" w:type="dxa"/>
            <w:tcBorders>
              <w:top w:val="single" w:sz="8" w:space="0" w:color="000000"/>
              <w:left w:val="nil"/>
              <w:bottom w:val="single" w:sz="8" w:space="0" w:color="000000"/>
              <w:right w:val="nil"/>
            </w:tcBorders>
            <w:tcMar>
              <w:top w:w="20" w:type="dxa"/>
              <w:left w:w="20" w:type="dxa"/>
              <w:bottom w:w="100" w:type="dxa"/>
              <w:right w:w="20" w:type="dxa"/>
            </w:tcMar>
          </w:tcPr>
          <w:p w14:paraId="2573662E"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Lifetime PTSD</w:t>
            </w:r>
          </w:p>
        </w:tc>
        <w:tc>
          <w:tcPr>
            <w:tcW w:w="1290" w:type="dxa"/>
            <w:tcBorders>
              <w:top w:val="single" w:sz="8" w:space="0" w:color="000000"/>
              <w:left w:val="nil"/>
              <w:bottom w:val="single" w:sz="8" w:space="0" w:color="000000"/>
              <w:right w:val="nil"/>
            </w:tcBorders>
            <w:tcMar>
              <w:top w:w="20" w:type="dxa"/>
              <w:left w:w="20" w:type="dxa"/>
              <w:bottom w:w="100" w:type="dxa"/>
              <w:right w:w="20" w:type="dxa"/>
            </w:tcMar>
          </w:tcPr>
          <w:p w14:paraId="5723AA45"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Mean ASI</w:t>
            </w:r>
          </w:p>
        </w:tc>
        <w:tc>
          <w:tcPr>
            <w:tcW w:w="1290" w:type="dxa"/>
            <w:tcBorders>
              <w:top w:val="single" w:sz="8" w:space="0" w:color="000000"/>
              <w:left w:val="nil"/>
              <w:bottom w:val="single" w:sz="8" w:space="0" w:color="000000"/>
              <w:right w:val="nil"/>
            </w:tcBorders>
            <w:tcMar>
              <w:top w:w="20" w:type="dxa"/>
              <w:left w:w="20" w:type="dxa"/>
              <w:bottom w:w="100" w:type="dxa"/>
              <w:right w:w="20" w:type="dxa"/>
            </w:tcMar>
          </w:tcPr>
          <w:p w14:paraId="0E47FA10"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Std. Error</w:t>
            </w:r>
          </w:p>
        </w:tc>
        <w:tc>
          <w:tcPr>
            <w:tcW w:w="1695" w:type="dxa"/>
            <w:tcBorders>
              <w:top w:val="single" w:sz="8" w:space="0" w:color="000000"/>
              <w:left w:val="nil"/>
              <w:bottom w:val="single" w:sz="8" w:space="0" w:color="000000"/>
              <w:right w:val="nil"/>
            </w:tcBorders>
            <w:tcMar>
              <w:top w:w="20" w:type="dxa"/>
              <w:left w:w="20" w:type="dxa"/>
              <w:bottom w:w="100" w:type="dxa"/>
              <w:right w:w="20" w:type="dxa"/>
            </w:tcMar>
          </w:tcPr>
          <w:p w14:paraId="7A5103A3"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95% Confidence Interval</w:t>
            </w:r>
          </w:p>
        </w:tc>
      </w:tr>
      <w:tr w:rsidR="00D90040" w14:paraId="6D7C1B64" w14:textId="77777777">
        <w:trPr>
          <w:trHeight w:val="745"/>
        </w:trPr>
        <w:tc>
          <w:tcPr>
            <w:tcW w:w="1770" w:type="dxa"/>
            <w:vMerge w:val="restart"/>
            <w:tcBorders>
              <w:top w:val="single" w:sz="8" w:space="0" w:color="000000"/>
              <w:left w:val="nil"/>
              <w:bottom w:val="nil"/>
              <w:right w:val="nil"/>
            </w:tcBorders>
            <w:tcMar>
              <w:top w:w="20" w:type="dxa"/>
              <w:left w:w="20" w:type="dxa"/>
              <w:bottom w:w="100" w:type="dxa"/>
              <w:right w:w="20" w:type="dxa"/>
            </w:tcMar>
          </w:tcPr>
          <w:p w14:paraId="1AAD5A85" w14:textId="77777777" w:rsidR="00D90040" w:rsidRDefault="00B46279">
            <w:pPr>
              <w:spacing w:after="20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None</w:t>
            </w:r>
          </w:p>
        </w:tc>
        <w:tc>
          <w:tcPr>
            <w:tcW w:w="1740" w:type="dxa"/>
            <w:tcBorders>
              <w:top w:val="single" w:sz="8" w:space="0" w:color="000000"/>
              <w:left w:val="nil"/>
              <w:bottom w:val="nil"/>
              <w:right w:val="nil"/>
            </w:tcBorders>
            <w:tcMar>
              <w:top w:w="20" w:type="dxa"/>
              <w:left w:w="20" w:type="dxa"/>
              <w:bottom w:w="100" w:type="dxa"/>
              <w:right w:w="20" w:type="dxa"/>
            </w:tcMar>
          </w:tcPr>
          <w:p w14:paraId="077655D2" w14:textId="77777777" w:rsidR="00D90040" w:rsidRDefault="00B46279">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Absent</w:t>
            </w:r>
          </w:p>
        </w:tc>
        <w:tc>
          <w:tcPr>
            <w:tcW w:w="1290" w:type="dxa"/>
            <w:tcBorders>
              <w:top w:val="single" w:sz="8" w:space="0" w:color="000000"/>
              <w:left w:val="nil"/>
              <w:bottom w:val="nil"/>
              <w:right w:val="nil"/>
            </w:tcBorders>
            <w:tcMar>
              <w:top w:w="20" w:type="dxa"/>
              <w:left w:w="20" w:type="dxa"/>
              <w:bottom w:w="100" w:type="dxa"/>
              <w:right w:w="20" w:type="dxa"/>
            </w:tcMar>
          </w:tcPr>
          <w:p w14:paraId="61C700ED"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14.597</w:t>
            </w:r>
          </w:p>
        </w:tc>
        <w:tc>
          <w:tcPr>
            <w:tcW w:w="1290" w:type="dxa"/>
            <w:tcBorders>
              <w:top w:val="single" w:sz="8" w:space="0" w:color="000000"/>
              <w:left w:val="nil"/>
              <w:bottom w:val="nil"/>
              <w:right w:val="nil"/>
            </w:tcBorders>
            <w:tcMar>
              <w:top w:w="20" w:type="dxa"/>
              <w:left w:w="20" w:type="dxa"/>
              <w:bottom w:w="100" w:type="dxa"/>
              <w:right w:w="20" w:type="dxa"/>
            </w:tcMar>
          </w:tcPr>
          <w:p w14:paraId="2A7B614F"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0.850</w:t>
            </w:r>
          </w:p>
        </w:tc>
        <w:tc>
          <w:tcPr>
            <w:tcW w:w="1695" w:type="dxa"/>
            <w:tcBorders>
              <w:top w:val="single" w:sz="8" w:space="0" w:color="000000"/>
              <w:left w:val="nil"/>
              <w:bottom w:val="nil"/>
              <w:right w:val="nil"/>
            </w:tcBorders>
            <w:tcMar>
              <w:top w:w="20" w:type="dxa"/>
              <w:left w:w="20" w:type="dxa"/>
              <w:bottom w:w="100" w:type="dxa"/>
              <w:right w:w="20" w:type="dxa"/>
            </w:tcMar>
          </w:tcPr>
          <w:p w14:paraId="5A50EC0A"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12.929-16.265</w:t>
            </w:r>
          </w:p>
        </w:tc>
      </w:tr>
      <w:tr w:rsidR="00D90040" w14:paraId="444894A2" w14:textId="77777777">
        <w:trPr>
          <w:trHeight w:val="745"/>
        </w:trPr>
        <w:tc>
          <w:tcPr>
            <w:tcW w:w="1770" w:type="dxa"/>
            <w:vMerge/>
            <w:tcBorders>
              <w:bottom w:val="nil"/>
              <w:right w:val="nil"/>
            </w:tcBorders>
            <w:shd w:val="clear" w:color="auto" w:fill="auto"/>
            <w:tcMar>
              <w:top w:w="100" w:type="dxa"/>
              <w:left w:w="100" w:type="dxa"/>
              <w:bottom w:w="100" w:type="dxa"/>
              <w:right w:w="100" w:type="dxa"/>
            </w:tcMar>
          </w:tcPr>
          <w:p w14:paraId="4D33AA69" w14:textId="77777777" w:rsidR="00D90040" w:rsidRDefault="00D90040">
            <w:pPr>
              <w:widowControl w:val="0"/>
              <w:rPr>
                <w:rFonts w:ascii="Times New Roman" w:eastAsia="Times New Roman" w:hAnsi="Times New Roman" w:cs="Times New Roman"/>
                <w:b/>
                <w:sz w:val="24"/>
                <w:szCs w:val="24"/>
              </w:rPr>
            </w:pPr>
          </w:p>
        </w:tc>
        <w:tc>
          <w:tcPr>
            <w:tcW w:w="1740" w:type="dxa"/>
            <w:tcBorders>
              <w:top w:val="nil"/>
              <w:left w:val="nil"/>
              <w:bottom w:val="nil"/>
              <w:right w:val="nil"/>
            </w:tcBorders>
            <w:shd w:val="clear" w:color="auto" w:fill="auto"/>
            <w:tcMar>
              <w:top w:w="20" w:type="dxa"/>
              <w:left w:w="20" w:type="dxa"/>
              <w:bottom w:w="100" w:type="dxa"/>
              <w:right w:w="20" w:type="dxa"/>
            </w:tcMar>
          </w:tcPr>
          <w:p w14:paraId="521D6B50"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Present</w:t>
            </w:r>
          </w:p>
        </w:tc>
        <w:tc>
          <w:tcPr>
            <w:tcW w:w="1290" w:type="dxa"/>
            <w:tcBorders>
              <w:top w:val="nil"/>
              <w:left w:val="nil"/>
              <w:bottom w:val="nil"/>
              <w:right w:val="nil"/>
            </w:tcBorders>
            <w:shd w:val="clear" w:color="auto" w:fill="auto"/>
            <w:tcMar>
              <w:top w:w="20" w:type="dxa"/>
              <w:left w:w="20" w:type="dxa"/>
              <w:bottom w:w="100" w:type="dxa"/>
              <w:right w:w="20" w:type="dxa"/>
            </w:tcMar>
          </w:tcPr>
          <w:p w14:paraId="4DAACEDA"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30.323</w:t>
            </w:r>
          </w:p>
        </w:tc>
        <w:tc>
          <w:tcPr>
            <w:tcW w:w="1290" w:type="dxa"/>
            <w:tcBorders>
              <w:top w:val="nil"/>
              <w:left w:val="nil"/>
              <w:bottom w:val="nil"/>
              <w:right w:val="nil"/>
            </w:tcBorders>
            <w:shd w:val="clear" w:color="auto" w:fill="auto"/>
            <w:tcMar>
              <w:top w:w="20" w:type="dxa"/>
              <w:left w:w="20" w:type="dxa"/>
              <w:bottom w:w="100" w:type="dxa"/>
              <w:right w:w="20" w:type="dxa"/>
            </w:tcMar>
          </w:tcPr>
          <w:p w14:paraId="2CCE6587"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2.067</w:t>
            </w:r>
          </w:p>
        </w:tc>
        <w:tc>
          <w:tcPr>
            <w:tcW w:w="1695" w:type="dxa"/>
            <w:tcBorders>
              <w:top w:val="nil"/>
              <w:left w:val="nil"/>
              <w:bottom w:val="nil"/>
              <w:right w:val="nil"/>
            </w:tcBorders>
            <w:shd w:val="clear" w:color="auto" w:fill="auto"/>
            <w:tcMar>
              <w:top w:w="20" w:type="dxa"/>
              <w:left w:w="20" w:type="dxa"/>
              <w:bottom w:w="100" w:type="dxa"/>
              <w:right w:w="20" w:type="dxa"/>
            </w:tcMar>
          </w:tcPr>
          <w:p w14:paraId="0519A7D7"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26.269-34.377</w:t>
            </w:r>
          </w:p>
        </w:tc>
      </w:tr>
      <w:tr w:rsidR="00D90040" w14:paraId="489048C8" w14:textId="77777777">
        <w:trPr>
          <w:trHeight w:val="745"/>
        </w:trPr>
        <w:tc>
          <w:tcPr>
            <w:tcW w:w="1770" w:type="dxa"/>
            <w:vMerge w:val="restart"/>
            <w:tcBorders>
              <w:top w:val="nil"/>
              <w:left w:val="nil"/>
              <w:bottom w:val="nil"/>
              <w:right w:val="nil"/>
            </w:tcBorders>
            <w:shd w:val="clear" w:color="auto" w:fill="auto"/>
            <w:tcMar>
              <w:top w:w="20" w:type="dxa"/>
              <w:left w:w="20" w:type="dxa"/>
              <w:bottom w:w="100" w:type="dxa"/>
              <w:right w:w="20" w:type="dxa"/>
            </w:tcMar>
          </w:tcPr>
          <w:p w14:paraId="2F7AE72A" w14:textId="77777777" w:rsidR="00D90040" w:rsidRDefault="00B46279">
            <w:pPr>
              <w:spacing w:after="20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Cocaine</w:t>
            </w:r>
          </w:p>
        </w:tc>
        <w:tc>
          <w:tcPr>
            <w:tcW w:w="1740" w:type="dxa"/>
            <w:tcBorders>
              <w:top w:val="nil"/>
              <w:left w:val="nil"/>
              <w:bottom w:val="nil"/>
              <w:right w:val="nil"/>
            </w:tcBorders>
            <w:shd w:val="clear" w:color="auto" w:fill="auto"/>
            <w:tcMar>
              <w:top w:w="20" w:type="dxa"/>
              <w:left w:w="20" w:type="dxa"/>
              <w:bottom w:w="100" w:type="dxa"/>
              <w:right w:w="20" w:type="dxa"/>
            </w:tcMar>
          </w:tcPr>
          <w:p w14:paraId="190307B5" w14:textId="77777777" w:rsidR="00D90040" w:rsidRDefault="00B46279">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Absent</w:t>
            </w:r>
          </w:p>
        </w:tc>
        <w:tc>
          <w:tcPr>
            <w:tcW w:w="1290" w:type="dxa"/>
            <w:tcBorders>
              <w:top w:val="nil"/>
              <w:left w:val="nil"/>
              <w:bottom w:val="nil"/>
              <w:right w:val="nil"/>
            </w:tcBorders>
            <w:shd w:val="clear" w:color="auto" w:fill="auto"/>
            <w:tcMar>
              <w:top w:w="20" w:type="dxa"/>
              <w:left w:w="20" w:type="dxa"/>
              <w:bottom w:w="100" w:type="dxa"/>
              <w:right w:w="20" w:type="dxa"/>
            </w:tcMar>
          </w:tcPr>
          <w:p w14:paraId="244B6F3E"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19.750</w:t>
            </w:r>
          </w:p>
        </w:tc>
        <w:tc>
          <w:tcPr>
            <w:tcW w:w="1290" w:type="dxa"/>
            <w:tcBorders>
              <w:top w:val="nil"/>
              <w:left w:val="nil"/>
              <w:bottom w:val="nil"/>
              <w:right w:val="nil"/>
            </w:tcBorders>
            <w:shd w:val="clear" w:color="auto" w:fill="auto"/>
            <w:tcMar>
              <w:top w:w="20" w:type="dxa"/>
              <w:left w:w="20" w:type="dxa"/>
              <w:bottom w:w="100" w:type="dxa"/>
              <w:right w:w="20" w:type="dxa"/>
            </w:tcMar>
          </w:tcPr>
          <w:p w14:paraId="7CF751BF"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1.088</w:t>
            </w:r>
          </w:p>
        </w:tc>
        <w:tc>
          <w:tcPr>
            <w:tcW w:w="1695" w:type="dxa"/>
            <w:tcBorders>
              <w:top w:val="nil"/>
              <w:left w:val="nil"/>
              <w:bottom w:val="nil"/>
              <w:right w:val="nil"/>
            </w:tcBorders>
            <w:shd w:val="clear" w:color="auto" w:fill="auto"/>
            <w:tcMar>
              <w:top w:w="20" w:type="dxa"/>
              <w:left w:w="20" w:type="dxa"/>
              <w:bottom w:w="100" w:type="dxa"/>
              <w:right w:w="20" w:type="dxa"/>
            </w:tcMar>
          </w:tcPr>
          <w:p w14:paraId="3707FD61"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17.647-21.871</w:t>
            </w:r>
          </w:p>
        </w:tc>
      </w:tr>
      <w:tr w:rsidR="00D90040" w14:paraId="4E8DAF67" w14:textId="77777777">
        <w:trPr>
          <w:trHeight w:val="745"/>
        </w:trPr>
        <w:tc>
          <w:tcPr>
            <w:tcW w:w="1770" w:type="dxa"/>
            <w:vMerge/>
            <w:tcBorders>
              <w:bottom w:val="nil"/>
              <w:right w:val="nil"/>
            </w:tcBorders>
            <w:shd w:val="clear" w:color="auto" w:fill="auto"/>
            <w:tcMar>
              <w:top w:w="100" w:type="dxa"/>
              <w:left w:w="100" w:type="dxa"/>
              <w:bottom w:w="100" w:type="dxa"/>
              <w:right w:w="100" w:type="dxa"/>
            </w:tcMar>
          </w:tcPr>
          <w:p w14:paraId="6244F2A0" w14:textId="77777777" w:rsidR="00D90040" w:rsidRDefault="00D90040">
            <w:pPr>
              <w:widowControl w:val="0"/>
              <w:rPr>
                <w:rFonts w:ascii="Times New Roman" w:eastAsia="Times New Roman" w:hAnsi="Times New Roman" w:cs="Times New Roman"/>
                <w:b/>
                <w:sz w:val="24"/>
                <w:szCs w:val="24"/>
              </w:rPr>
            </w:pPr>
          </w:p>
        </w:tc>
        <w:tc>
          <w:tcPr>
            <w:tcW w:w="1740" w:type="dxa"/>
            <w:tcBorders>
              <w:top w:val="nil"/>
              <w:left w:val="nil"/>
              <w:bottom w:val="nil"/>
              <w:right w:val="nil"/>
            </w:tcBorders>
            <w:shd w:val="clear" w:color="auto" w:fill="auto"/>
            <w:tcMar>
              <w:top w:w="20" w:type="dxa"/>
              <w:left w:w="20" w:type="dxa"/>
              <w:bottom w:w="100" w:type="dxa"/>
              <w:right w:w="20" w:type="dxa"/>
            </w:tcMar>
          </w:tcPr>
          <w:p w14:paraId="0A1CD964"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Present</w:t>
            </w:r>
          </w:p>
        </w:tc>
        <w:tc>
          <w:tcPr>
            <w:tcW w:w="1290" w:type="dxa"/>
            <w:tcBorders>
              <w:top w:val="nil"/>
              <w:left w:val="nil"/>
              <w:bottom w:val="nil"/>
              <w:right w:val="nil"/>
            </w:tcBorders>
            <w:shd w:val="clear" w:color="auto" w:fill="auto"/>
            <w:tcMar>
              <w:top w:w="20" w:type="dxa"/>
              <w:left w:w="20" w:type="dxa"/>
              <w:bottom w:w="100" w:type="dxa"/>
              <w:right w:w="20" w:type="dxa"/>
            </w:tcMar>
          </w:tcPr>
          <w:p w14:paraId="0FCC8F13"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27.494</w:t>
            </w:r>
          </w:p>
        </w:tc>
        <w:tc>
          <w:tcPr>
            <w:tcW w:w="1290" w:type="dxa"/>
            <w:tcBorders>
              <w:top w:val="nil"/>
              <w:left w:val="nil"/>
              <w:bottom w:val="nil"/>
              <w:right w:val="nil"/>
            </w:tcBorders>
            <w:shd w:val="clear" w:color="auto" w:fill="auto"/>
            <w:tcMar>
              <w:top w:w="20" w:type="dxa"/>
              <w:left w:w="20" w:type="dxa"/>
              <w:bottom w:w="100" w:type="dxa"/>
              <w:right w:w="20" w:type="dxa"/>
            </w:tcMar>
          </w:tcPr>
          <w:p w14:paraId="359972CB"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2.293</w:t>
            </w:r>
          </w:p>
        </w:tc>
        <w:tc>
          <w:tcPr>
            <w:tcW w:w="1695" w:type="dxa"/>
            <w:tcBorders>
              <w:top w:val="nil"/>
              <w:left w:val="nil"/>
              <w:bottom w:val="nil"/>
              <w:right w:val="nil"/>
            </w:tcBorders>
            <w:shd w:val="clear" w:color="auto" w:fill="auto"/>
            <w:tcMar>
              <w:top w:w="20" w:type="dxa"/>
              <w:left w:w="20" w:type="dxa"/>
              <w:bottom w:w="100" w:type="dxa"/>
              <w:right w:w="20" w:type="dxa"/>
            </w:tcMar>
          </w:tcPr>
          <w:p w14:paraId="5AD593A3"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22.996-31.992</w:t>
            </w:r>
          </w:p>
        </w:tc>
      </w:tr>
      <w:tr w:rsidR="00D90040" w14:paraId="0E5CBE2D" w14:textId="77777777">
        <w:trPr>
          <w:trHeight w:val="745"/>
        </w:trPr>
        <w:tc>
          <w:tcPr>
            <w:tcW w:w="1770" w:type="dxa"/>
            <w:vMerge w:val="restart"/>
            <w:tcBorders>
              <w:top w:val="nil"/>
              <w:left w:val="nil"/>
              <w:bottom w:val="nil"/>
              <w:right w:val="nil"/>
            </w:tcBorders>
            <w:tcMar>
              <w:top w:w="20" w:type="dxa"/>
              <w:left w:w="20" w:type="dxa"/>
              <w:bottom w:w="100" w:type="dxa"/>
              <w:right w:w="20" w:type="dxa"/>
            </w:tcMar>
          </w:tcPr>
          <w:p w14:paraId="2C8EDE6E" w14:textId="77777777" w:rsidR="00D90040" w:rsidRDefault="00B46279">
            <w:pPr>
              <w:spacing w:after="20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Alcohol and Cocaine</w:t>
            </w:r>
          </w:p>
        </w:tc>
        <w:tc>
          <w:tcPr>
            <w:tcW w:w="1740" w:type="dxa"/>
            <w:tcBorders>
              <w:top w:val="nil"/>
              <w:left w:val="nil"/>
              <w:bottom w:val="nil"/>
              <w:right w:val="nil"/>
            </w:tcBorders>
            <w:tcMar>
              <w:top w:w="20" w:type="dxa"/>
              <w:left w:w="20" w:type="dxa"/>
              <w:bottom w:w="100" w:type="dxa"/>
              <w:right w:w="20" w:type="dxa"/>
            </w:tcMar>
          </w:tcPr>
          <w:p w14:paraId="7FF7FDE5" w14:textId="77777777" w:rsidR="00D90040" w:rsidRDefault="00B46279">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Absent</w:t>
            </w:r>
          </w:p>
        </w:tc>
        <w:tc>
          <w:tcPr>
            <w:tcW w:w="1290" w:type="dxa"/>
            <w:tcBorders>
              <w:top w:val="nil"/>
              <w:left w:val="nil"/>
              <w:bottom w:val="nil"/>
              <w:right w:val="nil"/>
            </w:tcBorders>
            <w:tcMar>
              <w:top w:w="20" w:type="dxa"/>
              <w:left w:w="20" w:type="dxa"/>
              <w:bottom w:w="100" w:type="dxa"/>
              <w:right w:w="20" w:type="dxa"/>
            </w:tcMar>
          </w:tcPr>
          <w:p w14:paraId="67D43585"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24.171</w:t>
            </w:r>
          </w:p>
        </w:tc>
        <w:tc>
          <w:tcPr>
            <w:tcW w:w="1290" w:type="dxa"/>
            <w:tcBorders>
              <w:top w:val="nil"/>
              <w:left w:val="nil"/>
              <w:bottom w:val="nil"/>
              <w:right w:val="nil"/>
            </w:tcBorders>
            <w:tcMar>
              <w:top w:w="20" w:type="dxa"/>
              <w:left w:w="20" w:type="dxa"/>
              <w:bottom w:w="100" w:type="dxa"/>
              <w:right w:w="20" w:type="dxa"/>
            </w:tcMar>
          </w:tcPr>
          <w:p w14:paraId="53162EEB"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0.992</w:t>
            </w:r>
          </w:p>
        </w:tc>
        <w:tc>
          <w:tcPr>
            <w:tcW w:w="1695" w:type="dxa"/>
            <w:tcBorders>
              <w:top w:val="nil"/>
              <w:left w:val="nil"/>
              <w:bottom w:val="nil"/>
              <w:right w:val="nil"/>
            </w:tcBorders>
            <w:tcMar>
              <w:top w:w="20" w:type="dxa"/>
              <w:left w:w="20" w:type="dxa"/>
              <w:bottom w:w="100" w:type="dxa"/>
              <w:right w:w="20" w:type="dxa"/>
            </w:tcMar>
          </w:tcPr>
          <w:p w14:paraId="1512D407"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22.225-26.116</w:t>
            </w:r>
          </w:p>
        </w:tc>
      </w:tr>
      <w:tr w:rsidR="00D90040" w14:paraId="446CB0B0" w14:textId="77777777">
        <w:trPr>
          <w:trHeight w:val="745"/>
        </w:trPr>
        <w:tc>
          <w:tcPr>
            <w:tcW w:w="1770" w:type="dxa"/>
            <w:vMerge/>
            <w:tcBorders>
              <w:top w:val="nil"/>
              <w:left w:val="nil"/>
              <w:bottom w:val="nil"/>
              <w:right w:val="nil"/>
            </w:tcBorders>
            <w:tcMar>
              <w:top w:w="20" w:type="dxa"/>
              <w:left w:w="20" w:type="dxa"/>
              <w:bottom w:w="100" w:type="dxa"/>
              <w:right w:w="20" w:type="dxa"/>
            </w:tcMar>
          </w:tcPr>
          <w:p w14:paraId="16F88F94" w14:textId="77777777" w:rsidR="00D90040" w:rsidRDefault="00D90040">
            <w:pPr>
              <w:spacing w:line="240" w:lineRule="auto"/>
              <w:jc w:val="center"/>
              <w:rPr>
                <w:rFonts w:ascii="Times New Roman" w:eastAsia="Times New Roman" w:hAnsi="Times New Roman" w:cs="Times New Roman"/>
                <w:sz w:val="24"/>
                <w:szCs w:val="24"/>
              </w:rPr>
            </w:pPr>
          </w:p>
        </w:tc>
        <w:tc>
          <w:tcPr>
            <w:tcW w:w="1740" w:type="dxa"/>
            <w:tcBorders>
              <w:top w:val="nil"/>
              <w:left w:val="nil"/>
              <w:bottom w:val="nil"/>
              <w:right w:val="nil"/>
            </w:tcBorders>
            <w:tcMar>
              <w:top w:w="20" w:type="dxa"/>
              <w:left w:w="20" w:type="dxa"/>
              <w:bottom w:w="100" w:type="dxa"/>
              <w:right w:w="20" w:type="dxa"/>
            </w:tcMar>
          </w:tcPr>
          <w:p w14:paraId="58A8E254" w14:textId="77777777" w:rsidR="00D90040" w:rsidRDefault="00B46279">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Present</w:t>
            </w:r>
          </w:p>
        </w:tc>
        <w:tc>
          <w:tcPr>
            <w:tcW w:w="1290" w:type="dxa"/>
            <w:tcBorders>
              <w:top w:val="nil"/>
              <w:left w:val="nil"/>
              <w:bottom w:val="nil"/>
              <w:right w:val="nil"/>
            </w:tcBorders>
            <w:tcMar>
              <w:top w:w="20" w:type="dxa"/>
              <w:left w:w="20" w:type="dxa"/>
              <w:bottom w:w="100" w:type="dxa"/>
              <w:right w:w="20" w:type="dxa"/>
            </w:tcMar>
          </w:tcPr>
          <w:p w14:paraId="61FF87E1"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26.606</w:t>
            </w:r>
          </w:p>
        </w:tc>
        <w:tc>
          <w:tcPr>
            <w:tcW w:w="1290" w:type="dxa"/>
            <w:tcBorders>
              <w:top w:val="nil"/>
              <w:left w:val="nil"/>
              <w:bottom w:val="nil"/>
              <w:right w:val="nil"/>
            </w:tcBorders>
            <w:tcMar>
              <w:top w:w="20" w:type="dxa"/>
              <w:left w:w="20" w:type="dxa"/>
              <w:bottom w:w="100" w:type="dxa"/>
              <w:right w:w="20" w:type="dxa"/>
            </w:tcMar>
          </w:tcPr>
          <w:p w14:paraId="230CBB00"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3.740</w:t>
            </w:r>
          </w:p>
        </w:tc>
        <w:tc>
          <w:tcPr>
            <w:tcW w:w="1695" w:type="dxa"/>
            <w:tcBorders>
              <w:top w:val="nil"/>
              <w:left w:val="nil"/>
              <w:bottom w:val="nil"/>
              <w:right w:val="nil"/>
            </w:tcBorders>
            <w:tcMar>
              <w:top w:w="20" w:type="dxa"/>
              <w:left w:w="20" w:type="dxa"/>
              <w:bottom w:w="100" w:type="dxa"/>
              <w:right w:w="20" w:type="dxa"/>
            </w:tcMar>
          </w:tcPr>
          <w:p w14:paraId="3A6EB6EF"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19.269-26.312</w:t>
            </w:r>
          </w:p>
        </w:tc>
      </w:tr>
      <w:tr w:rsidR="00D90040" w14:paraId="1BDE8F6C" w14:textId="77777777">
        <w:trPr>
          <w:trHeight w:val="745"/>
        </w:trPr>
        <w:tc>
          <w:tcPr>
            <w:tcW w:w="1770" w:type="dxa"/>
            <w:tcBorders>
              <w:top w:val="nil"/>
              <w:left w:val="nil"/>
              <w:bottom w:val="nil"/>
              <w:right w:val="nil"/>
            </w:tcBorders>
            <w:tcMar>
              <w:top w:w="20" w:type="dxa"/>
              <w:left w:w="20" w:type="dxa"/>
              <w:bottom w:w="100" w:type="dxa"/>
              <w:right w:w="20" w:type="dxa"/>
            </w:tcMar>
          </w:tcPr>
          <w:p w14:paraId="18C31CD1" w14:textId="77777777" w:rsidR="00D90040" w:rsidRDefault="00B46279">
            <w:pPr>
              <w:spacing w:after="20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Hallucinogen </w:t>
            </w:r>
          </w:p>
        </w:tc>
        <w:tc>
          <w:tcPr>
            <w:tcW w:w="1740" w:type="dxa"/>
            <w:tcBorders>
              <w:top w:val="nil"/>
              <w:left w:val="nil"/>
              <w:bottom w:val="nil"/>
              <w:right w:val="nil"/>
            </w:tcBorders>
            <w:tcMar>
              <w:top w:w="20" w:type="dxa"/>
              <w:left w:w="20" w:type="dxa"/>
              <w:bottom w:w="100" w:type="dxa"/>
              <w:right w:w="20" w:type="dxa"/>
            </w:tcMar>
          </w:tcPr>
          <w:p w14:paraId="10353F57" w14:textId="77777777" w:rsidR="00D90040" w:rsidRDefault="00B46279">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Absent</w:t>
            </w:r>
          </w:p>
        </w:tc>
        <w:tc>
          <w:tcPr>
            <w:tcW w:w="1290" w:type="dxa"/>
            <w:tcBorders>
              <w:top w:val="nil"/>
              <w:left w:val="nil"/>
              <w:bottom w:val="nil"/>
              <w:right w:val="nil"/>
            </w:tcBorders>
            <w:tcMar>
              <w:top w:w="20" w:type="dxa"/>
              <w:left w:w="20" w:type="dxa"/>
              <w:bottom w:w="100" w:type="dxa"/>
              <w:right w:w="20" w:type="dxa"/>
            </w:tcMar>
          </w:tcPr>
          <w:p w14:paraId="65CBB609"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20.231</w:t>
            </w:r>
          </w:p>
        </w:tc>
        <w:tc>
          <w:tcPr>
            <w:tcW w:w="1290" w:type="dxa"/>
            <w:tcBorders>
              <w:top w:val="nil"/>
              <w:left w:val="nil"/>
              <w:bottom w:val="nil"/>
              <w:right w:val="nil"/>
            </w:tcBorders>
            <w:tcMar>
              <w:top w:w="20" w:type="dxa"/>
              <w:left w:w="20" w:type="dxa"/>
              <w:bottom w:w="100" w:type="dxa"/>
              <w:right w:w="20" w:type="dxa"/>
            </w:tcMar>
          </w:tcPr>
          <w:p w14:paraId="53135168"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1.456</w:t>
            </w:r>
          </w:p>
        </w:tc>
        <w:tc>
          <w:tcPr>
            <w:tcW w:w="1695" w:type="dxa"/>
            <w:tcBorders>
              <w:top w:val="nil"/>
              <w:left w:val="nil"/>
              <w:bottom w:val="nil"/>
              <w:right w:val="nil"/>
            </w:tcBorders>
            <w:tcMar>
              <w:top w:w="20" w:type="dxa"/>
              <w:left w:w="20" w:type="dxa"/>
              <w:bottom w:w="100" w:type="dxa"/>
              <w:right w:w="20" w:type="dxa"/>
            </w:tcMar>
          </w:tcPr>
          <w:p w14:paraId="2726F054"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17.375-23.088</w:t>
            </w:r>
          </w:p>
        </w:tc>
      </w:tr>
      <w:tr w:rsidR="00D90040" w14:paraId="71CFFE39" w14:textId="77777777">
        <w:trPr>
          <w:trHeight w:val="745"/>
        </w:trPr>
        <w:tc>
          <w:tcPr>
            <w:tcW w:w="1770" w:type="dxa"/>
            <w:tcBorders>
              <w:bottom w:val="single" w:sz="8" w:space="0" w:color="000000"/>
              <w:right w:val="nil"/>
            </w:tcBorders>
            <w:shd w:val="clear" w:color="auto" w:fill="auto"/>
            <w:tcMar>
              <w:top w:w="100" w:type="dxa"/>
              <w:left w:w="100" w:type="dxa"/>
              <w:bottom w:w="100" w:type="dxa"/>
              <w:right w:w="100" w:type="dxa"/>
            </w:tcMar>
          </w:tcPr>
          <w:p w14:paraId="4430F1F5" w14:textId="77777777" w:rsidR="00D90040" w:rsidRDefault="00D90040">
            <w:pPr>
              <w:widowControl w:val="0"/>
              <w:rPr>
                <w:rFonts w:ascii="Times New Roman" w:eastAsia="Times New Roman" w:hAnsi="Times New Roman" w:cs="Times New Roman"/>
                <w:b/>
                <w:sz w:val="24"/>
                <w:szCs w:val="24"/>
              </w:rPr>
            </w:pPr>
          </w:p>
        </w:tc>
        <w:tc>
          <w:tcPr>
            <w:tcW w:w="1740" w:type="dxa"/>
            <w:tcBorders>
              <w:top w:val="nil"/>
              <w:left w:val="nil"/>
              <w:bottom w:val="single" w:sz="8" w:space="0" w:color="000000"/>
              <w:right w:val="nil"/>
            </w:tcBorders>
            <w:shd w:val="clear" w:color="auto" w:fill="auto"/>
            <w:tcMar>
              <w:top w:w="20" w:type="dxa"/>
              <w:left w:w="20" w:type="dxa"/>
              <w:bottom w:w="100" w:type="dxa"/>
              <w:right w:w="20" w:type="dxa"/>
            </w:tcMar>
          </w:tcPr>
          <w:p w14:paraId="24BF2809"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Present</w:t>
            </w:r>
          </w:p>
        </w:tc>
        <w:tc>
          <w:tcPr>
            <w:tcW w:w="1290" w:type="dxa"/>
            <w:tcBorders>
              <w:top w:val="nil"/>
              <w:left w:val="nil"/>
              <w:bottom w:val="single" w:sz="8" w:space="0" w:color="000000"/>
              <w:right w:val="nil"/>
            </w:tcBorders>
            <w:shd w:val="clear" w:color="auto" w:fill="auto"/>
            <w:tcMar>
              <w:top w:w="20" w:type="dxa"/>
              <w:left w:w="20" w:type="dxa"/>
              <w:bottom w:w="100" w:type="dxa"/>
              <w:right w:w="20" w:type="dxa"/>
            </w:tcMar>
          </w:tcPr>
          <w:p w14:paraId="546FA78D"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35.217</w:t>
            </w:r>
          </w:p>
        </w:tc>
        <w:tc>
          <w:tcPr>
            <w:tcW w:w="1290" w:type="dxa"/>
            <w:tcBorders>
              <w:top w:val="nil"/>
              <w:left w:val="nil"/>
              <w:bottom w:val="single" w:sz="8" w:space="0" w:color="000000"/>
              <w:right w:val="nil"/>
            </w:tcBorders>
            <w:shd w:val="clear" w:color="auto" w:fill="auto"/>
            <w:tcMar>
              <w:top w:w="20" w:type="dxa"/>
              <w:left w:w="20" w:type="dxa"/>
              <w:bottom w:w="100" w:type="dxa"/>
              <w:right w:w="20" w:type="dxa"/>
            </w:tcMar>
          </w:tcPr>
          <w:p w14:paraId="5A7BB499"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2.582</w:t>
            </w:r>
          </w:p>
        </w:tc>
        <w:tc>
          <w:tcPr>
            <w:tcW w:w="1695" w:type="dxa"/>
            <w:tcBorders>
              <w:top w:val="nil"/>
              <w:left w:val="nil"/>
              <w:bottom w:val="single" w:sz="8" w:space="0" w:color="000000"/>
              <w:right w:val="nil"/>
            </w:tcBorders>
            <w:shd w:val="clear" w:color="auto" w:fill="auto"/>
            <w:tcMar>
              <w:top w:w="20" w:type="dxa"/>
              <w:left w:w="20" w:type="dxa"/>
              <w:bottom w:w="100" w:type="dxa"/>
              <w:right w:w="20" w:type="dxa"/>
            </w:tcMar>
          </w:tcPr>
          <w:p w14:paraId="56CC2C65"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30.151-40.282</w:t>
            </w:r>
          </w:p>
        </w:tc>
      </w:tr>
    </w:tbl>
    <w:p w14:paraId="5358C140" w14:textId="77777777" w:rsidR="00D90040" w:rsidRDefault="00D90040">
      <w:pPr>
        <w:spacing w:after="200" w:line="240" w:lineRule="auto"/>
        <w:rPr>
          <w:rFonts w:ascii="Times New Roman" w:eastAsia="Times New Roman" w:hAnsi="Times New Roman" w:cs="Times New Roman"/>
          <w:b/>
          <w:sz w:val="24"/>
          <w:szCs w:val="24"/>
        </w:rPr>
      </w:pPr>
    </w:p>
    <w:p w14:paraId="0EFA8780" w14:textId="77777777" w:rsidR="00D90040" w:rsidRDefault="00B46279">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Figure 3</w:t>
      </w:r>
    </w:p>
    <w:p w14:paraId="3C2CE569" w14:textId="77777777" w:rsidR="00D90040" w:rsidRDefault="00D90040">
      <w:pPr>
        <w:spacing w:line="240" w:lineRule="auto"/>
        <w:rPr>
          <w:rFonts w:ascii="Times New Roman" w:eastAsia="Times New Roman" w:hAnsi="Times New Roman" w:cs="Times New Roman"/>
          <w:sz w:val="24"/>
          <w:szCs w:val="24"/>
        </w:rPr>
      </w:pPr>
    </w:p>
    <w:p w14:paraId="2169B18E"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ASI Scores for Current SUDs Class</w:t>
      </w:r>
    </w:p>
    <w:p w14:paraId="6ECD6834"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rPr>
        <w:drawing>
          <wp:inline distT="114300" distB="114300" distL="114300" distR="114300" wp14:anchorId="01B06318" wp14:editId="66D64B96">
            <wp:extent cx="4229436" cy="2605088"/>
            <wp:effectExtent l="0" t="0" r="0" b="0"/>
            <wp:docPr id="1"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4"/>
                    <a:srcRect/>
                    <a:stretch>
                      <a:fillRect/>
                    </a:stretch>
                  </pic:blipFill>
                  <pic:spPr>
                    <a:xfrm>
                      <a:off x="0" y="0"/>
                      <a:ext cx="4229436" cy="2605088"/>
                    </a:xfrm>
                    <a:prstGeom prst="rect">
                      <a:avLst/>
                    </a:prstGeom>
                    <a:ln/>
                  </pic:spPr>
                </pic:pic>
              </a:graphicData>
            </a:graphic>
          </wp:inline>
        </w:drawing>
      </w:r>
    </w:p>
    <w:p w14:paraId="59238801" w14:textId="77777777" w:rsidR="00D90040" w:rsidRDefault="00D90040">
      <w:pPr>
        <w:spacing w:line="240" w:lineRule="auto"/>
        <w:rPr>
          <w:rFonts w:ascii="Times New Roman" w:eastAsia="Times New Roman" w:hAnsi="Times New Roman" w:cs="Times New Roman"/>
          <w:sz w:val="24"/>
          <w:szCs w:val="24"/>
        </w:rPr>
      </w:pPr>
    </w:p>
    <w:p w14:paraId="4325649B" w14:textId="77777777" w:rsidR="00D90040" w:rsidRDefault="00D90040">
      <w:pPr>
        <w:spacing w:line="240" w:lineRule="auto"/>
        <w:rPr>
          <w:rFonts w:ascii="Times New Roman" w:eastAsia="Times New Roman" w:hAnsi="Times New Roman" w:cs="Times New Roman"/>
          <w:sz w:val="24"/>
          <w:szCs w:val="24"/>
        </w:rPr>
      </w:pPr>
    </w:p>
    <w:p w14:paraId="0C916AC6" w14:textId="77777777" w:rsidR="00D90040" w:rsidRDefault="00D90040">
      <w:pPr>
        <w:spacing w:after="200" w:line="240" w:lineRule="auto"/>
        <w:rPr>
          <w:rFonts w:ascii="Times New Roman" w:eastAsia="Times New Roman" w:hAnsi="Times New Roman" w:cs="Times New Roman"/>
          <w:sz w:val="24"/>
          <w:szCs w:val="24"/>
        </w:rPr>
      </w:pPr>
    </w:p>
    <w:p w14:paraId="41B9E6F3" w14:textId="77777777" w:rsidR="00D90040" w:rsidRDefault="00B46279">
      <w:pPr>
        <w:spacing w:after="20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9</w:t>
      </w:r>
    </w:p>
    <w:p w14:paraId="13DDDAE3" w14:textId="77777777" w:rsidR="00D90040" w:rsidRDefault="00B46279">
      <w:pPr>
        <w:spacing w:after="200"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Effect of PTSD and Lifetime SUDs Class on ASI</w:t>
      </w:r>
    </w:p>
    <w:tbl>
      <w:tblPr>
        <w:tblStyle w:val="a7"/>
        <w:tblW w:w="6990" w:type="dxa"/>
        <w:tblInd w:w="85" w:type="dxa"/>
        <w:tblBorders>
          <w:top w:val="nil"/>
          <w:left w:val="nil"/>
          <w:bottom w:val="nil"/>
          <w:right w:val="nil"/>
          <w:insideH w:val="nil"/>
          <w:insideV w:val="nil"/>
        </w:tblBorders>
        <w:tblLayout w:type="fixed"/>
        <w:tblLook w:val="0600" w:firstRow="0" w:lastRow="0" w:firstColumn="0" w:lastColumn="0" w:noHBand="1" w:noVBand="1"/>
      </w:tblPr>
      <w:tblGrid>
        <w:gridCol w:w="1890"/>
        <w:gridCol w:w="1230"/>
        <w:gridCol w:w="1395"/>
        <w:gridCol w:w="2475"/>
      </w:tblGrid>
      <w:tr w:rsidR="00D90040" w14:paraId="2D28F6B4" w14:textId="77777777">
        <w:trPr>
          <w:trHeight w:val="765"/>
        </w:trPr>
        <w:tc>
          <w:tcPr>
            <w:tcW w:w="1890" w:type="dxa"/>
            <w:tcBorders>
              <w:top w:val="single" w:sz="8" w:space="0" w:color="000000"/>
              <w:left w:val="nil"/>
              <w:bottom w:val="single" w:sz="8" w:space="0" w:color="000000"/>
              <w:right w:val="nil"/>
            </w:tcBorders>
            <w:tcMar>
              <w:top w:w="100" w:type="dxa"/>
              <w:left w:w="100" w:type="dxa"/>
              <w:bottom w:w="100" w:type="dxa"/>
              <w:right w:w="100" w:type="dxa"/>
            </w:tcMar>
          </w:tcPr>
          <w:p w14:paraId="4122EB70"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Variable</w:t>
            </w:r>
          </w:p>
        </w:tc>
        <w:tc>
          <w:tcPr>
            <w:tcW w:w="1230" w:type="dxa"/>
            <w:tcBorders>
              <w:top w:val="single" w:sz="8" w:space="0" w:color="000000"/>
              <w:left w:val="nil"/>
              <w:bottom w:val="single" w:sz="8" w:space="0" w:color="000000"/>
              <w:right w:val="nil"/>
            </w:tcBorders>
            <w:tcMar>
              <w:top w:w="100" w:type="dxa"/>
              <w:left w:w="100" w:type="dxa"/>
              <w:bottom w:w="100" w:type="dxa"/>
              <w:right w:w="100" w:type="dxa"/>
            </w:tcMar>
          </w:tcPr>
          <w:p w14:paraId="73AF11A2" w14:textId="77777777" w:rsidR="00D90040" w:rsidRDefault="00B46279">
            <w:pP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F</w:t>
            </w:r>
          </w:p>
        </w:tc>
        <w:tc>
          <w:tcPr>
            <w:tcW w:w="1395" w:type="dxa"/>
            <w:tcBorders>
              <w:top w:val="single" w:sz="8" w:space="0" w:color="000000"/>
              <w:left w:val="nil"/>
              <w:bottom w:val="single" w:sz="8" w:space="0" w:color="000000"/>
              <w:right w:val="nil"/>
            </w:tcBorders>
            <w:tcMar>
              <w:top w:w="100" w:type="dxa"/>
              <w:left w:w="100" w:type="dxa"/>
              <w:bottom w:w="100" w:type="dxa"/>
              <w:right w:w="100" w:type="dxa"/>
            </w:tcMar>
          </w:tcPr>
          <w:p w14:paraId="1E446DEA" w14:textId="77777777" w:rsidR="00D90040" w:rsidRDefault="00B46279">
            <w:pPr>
              <w:spacing w:line="240" w:lineRule="auto"/>
              <w:rPr>
                <w:rFonts w:ascii="Times New Roman" w:eastAsia="Times New Roman" w:hAnsi="Times New Roman" w:cs="Times New Roman"/>
                <w:i/>
                <w:sz w:val="24"/>
                <w:szCs w:val="24"/>
              </w:rPr>
            </w:pPr>
            <w:proofErr w:type="spellStart"/>
            <w:r>
              <w:rPr>
                <w:rFonts w:ascii="Times New Roman" w:eastAsia="Times New Roman" w:hAnsi="Times New Roman" w:cs="Times New Roman"/>
                <w:i/>
                <w:sz w:val="24"/>
                <w:szCs w:val="24"/>
              </w:rPr>
              <w:t>df</w:t>
            </w:r>
            <w:proofErr w:type="spellEnd"/>
          </w:p>
        </w:tc>
        <w:tc>
          <w:tcPr>
            <w:tcW w:w="2475" w:type="dxa"/>
            <w:tcBorders>
              <w:top w:val="single" w:sz="8" w:space="0" w:color="000000"/>
              <w:left w:val="nil"/>
              <w:bottom w:val="single" w:sz="8" w:space="0" w:color="000000"/>
              <w:right w:val="nil"/>
            </w:tcBorders>
            <w:tcMar>
              <w:top w:w="100" w:type="dxa"/>
              <w:left w:w="100" w:type="dxa"/>
              <w:bottom w:w="100" w:type="dxa"/>
              <w:right w:w="100" w:type="dxa"/>
            </w:tcMar>
          </w:tcPr>
          <w:p w14:paraId="42395970"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Significance (p-value)</w:t>
            </w:r>
          </w:p>
        </w:tc>
      </w:tr>
      <w:tr w:rsidR="00D90040" w14:paraId="2A6D6104" w14:textId="77777777">
        <w:trPr>
          <w:trHeight w:val="810"/>
        </w:trPr>
        <w:tc>
          <w:tcPr>
            <w:tcW w:w="1890" w:type="dxa"/>
            <w:tcBorders>
              <w:top w:val="nil"/>
              <w:left w:val="nil"/>
              <w:bottom w:val="nil"/>
              <w:right w:val="nil"/>
            </w:tcBorders>
            <w:tcMar>
              <w:top w:w="100" w:type="dxa"/>
              <w:left w:w="100" w:type="dxa"/>
              <w:bottom w:w="100" w:type="dxa"/>
              <w:right w:w="100" w:type="dxa"/>
            </w:tcMar>
          </w:tcPr>
          <w:p w14:paraId="178D2924"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Age</w:t>
            </w:r>
          </w:p>
        </w:tc>
        <w:tc>
          <w:tcPr>
            <w:tcW w:w="1230" w:type="dxa"/>
            <w:tcBorders>
              <w:top w:val="nil"/>
              <w:left w:val="nil"/>
              <w:bottom w:val="nil"/>
              <w:right w:val="nil"/>
            </w:tcBorders>
            <w:tcMar>
              <w:top w:w="100" w:type="dxa"/>
              <w:left w:w="100" w:type="dxa"/>
              <w:bottom w:w="100" w:type="dxa"/>
              <w:right w:w="100" w:type="dxa"/>
            </w:tcMar>
          </w:tcPr>
          <w:p w14:paraId="1D700413"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16.0987</w:t>
            </w:r>
          </w:p>
        </w:tc>
        <w:tc>
          <w:tcPr>
            <w:tcW w:w="1395" w:type="dxa"/>
            <w:tcBorders>
              <w:top w:val="nil"/>
              <w:left w:val="nil"/>
              <w:bottom w:val="nil"/>
              <w:right w:val="nil"/>
            </w:tcBorders>
            <w:tcMar>
              <w:top w:w="100" w:type="dxa"/>
              <w:left w:w="100" w:type="dxa"/>
              <w:bottom w:w="100" w:type="dxa"/>
              <w:right w:w="100" w:type="dxa"/>
            </w:tcMar>
          </w:tcPr>
          <w:p w14:paraId="6D591701"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1, 1497</w:t>
            </w:r>
          </w:p>
        </w:tc>
        <w:tc>
          <w:tcPr>
            <w:tcW w:w="2475" w:type="dxa"/>
            <w:tcBorders>
              <w:top w:val="nil"/>
              <w:left w:val="nil"/>
              <w:bottom w:val="nil"/>
              <w:right w:val="nil"/>
            </w:tcBorders>
            <w:tcMar>
              <w:top w:w="100" w:type="dxa"/>
              <w:left w:w="100" w:type="dxa"/>
              <w:bottom w:w="100" w:type="dxa"/>
              <w:right w:w="100" w:type="dxa"/>
            </w:tcMar>
          </w:tcPr>
          <w:p w14:paraId="0DD473DB"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&lt;0.001***</w:t>
            </w:r>
          </w:p>
        </w:tc>
      </w:tr>
      <w:tr w:rsidR="00D90040" w14:paraId="0F592325" w14:textId="77777777">
        <w:trPr>
          <w:trHeight w:val="810"/>
        </w:trPr>
        <w:tc>
          <w:tcPr>
            <w:tcW w:w="1890" w:type="dxa"/>
            <w:tcBorders>
              <w:top w:val="nil"/>
              <w:left w:val="nil"/>
              <w:bottom w:val="nil"/>
              <w:right w:val="nil"/>
            </w:tcBorders>
            <w:tcMar>
              <w:top w:w="100" w:type="dxa"/>
              <w:left w:w="100" w:type="dxa"/>
              <w:bottom w:w="100" w:type="dxa"/>
              <w:right w:w="100" w:type="dxa"/>
            </w:tcMar>
          </w:tcPr>
          <w:p w14:paraId="412FA2BB"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Gender</w:t>
            </w:r>
          </w:p>
        </w:tc>
        <w:tc>
          <w:tcPr>
            <w:tcW w:w="1230" w:type="dxa"/>
            <w:tcBorders>
              <w:top w:val="nil"/>
              <w:left w:val="nil"/>
              <w:bottom w:val="nil"/>
              <w:right w:val="nil"/>
            </w:tcBorders>
            <w:tcMar>
              <w:top w:w="100" w:type="dxa"/>
              <w:left w:w="100" w:type="dxa"/>
              <w:bottom w:w="100" w:type="dxa"/>
              <w:right w:w="100" w:type="dxa"/>
            </w:tcMar>
          </w:tcPr>
          <w:p w14:paraId="5B82B653"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5.2180</w:t>
            </w:r>
          </w:p>
        </w:tc>
        <w:tc>
          <w:tcPr>
            <w:tcW w:w="1395" w:type="dxa"/>
            <w:tcBorders>
              <w:top w:val="nil"/>
              <w:left w:val="nil"/>
              <w:bottom w:val="nil"/>
              <w:right w:val="nil"/>
            </w:tcBorders>
            <w:tcMar>
              <w:top w:w="100" w:type="dxa"/>
              <w:left w:w="100" w:type="dxa"/>
              <w:bottom w:w="100" w:type="dxa"/>
              <w:right w:w="100" w:type="dxa"/>
            </w:tcMar>
          </w:tcPr>
          <w:p w14:paraId="4099788D"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1, 1497</w:t>
            </w:r>
          </w:p>
        </w:tc>
        <w:tc>
          <w:tcPr>
            <w:tcW w:w="2475" w:type="dxa"/>
            <w:tcBorders>
              <w:top w:val="nil"/>
              <w:left w:val="nil"/>
              <w:bottom w:val="nil"/>
              <w:right w:val="nil"/>
            </w:tcBorders>
            <w:tcMar>
              <w:top w:w="100" w:type="dxa"/>
              <w:left w:w="100" w:type="dxa"/>
              <w:bottom w:w="100" w:type="dxa"/>
              <w:right w:w="100" w:type="dxa"/>
            </w:tcMar>
          </w:tcPr>
          <w:p w14:paraId="5AB2905D"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0.022*</w:t>
            </w:r>
          </w:p>
        </w:tc>
      </w:tr>
      <w:tr w:rsidR="00D90040" w14:paraId="77255F3F" w14:textId="77777777">
        <w:trPr>
          <w:trHeight w:val="765"/>
        </w:trPr>
        <w:tc>
          <w:tcPr>
            <w:tcW w:w="1890" w:type="dxa"/>
            <w:tcBorders>
              <w:top w:val="nil"/>
              <w:left w:val="nil"/>
              <w:bottom w:val="nil"/>
              <w:right w:val="nil"/>
            </w:tcBorders>
            <w:tcMar>
              <w:top w:w="100" w:type="dxa"/>
              <w:left w:w="100" w:type="dxa"/>
              <w:bottom w:w="100" w:type="dxa"/>
              <w:right w:w="100" w:type="dxa"/>
            </w:tcMar>
          </w:tcPr>
          <w:p w14:paraId="69A5F05F"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Income</w:t>
            </w:r>
          </w:p>
        </w:tc>
        <w:tc>
          <w:tcPr>
            <w:tcW w:w="1230" w:type="dxa"/>
            <w:tcBorders>
              <w:top w:val="nil"/>
              <w:left w:val="nil"/>
              <w:bottom w:val="nil"/>
              <w:right w:val="nil"/>
            </w:tcBorders>
            <w:tcMar>
              <w:top w:w="100" w:type="dxa"/>
              <w:left w:w="100" w:type="dxa"/>
              <w:bottom w:w="100" w:type="dxa"/>
              <w:right w:w="100" w:type="dxa"/>
            </w:tcMar>
          </w:tcPr>
          <w:p w14:paraId="1E03539E"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8.3324</w:t>
            </w:r>
          </w:p>
        </w:tc>
        <w:tc>
          <w:tcPr>
            <w:tcW w:w="1395" w:type="dxa"/>
            <w:tcBorders>
              <w:top w:val="nil"/>
              <w:left w:val="nil"/>
              <w:bottom w:val="nil"/>
              <w:right w:val="nil"/>
            </w:tcBorders>
            <w:tcMar>
              <w:top w:w="100" w:type="dxa"/>
              <w:left w:w="100" w:type="dxa"/>
              <w:bottom w:w="100" w:type="dxa"/>
              <w:right w:w="100" w:type="dxa"/>
            </w:tcMar>
          </w:tcPr>
          <w:p w14:paraId="00AB857B"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1, 1497</w:t>
            </w:r>
          </w:p>
        </w:tc>
        <w:tc>
          <w:tcPr>
            <w:tcW w:w="2475" w:type="dxa"/>
            <w:tcBorders>
              <w:top w:val="nil"/>
              <w:left w:val="nil"/>
              <w:bottom w:val="nil"/>
              <w:right w:val="nil"/>
            </w:tcBorders>
            <w:tcMar>
              <w:top w:w="100" w:type="dxa"/>
              <w:left w:w="100" w:type="dxa"/>
              <w:bottom w:w="100" w:type="dxa"/>
              <w:right w:w="100" w:type="dxa"/>
            </w:tcMar>
          </w:tcPr>
          <w:p w14:paraId="4F2C722F"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0.0039**</w:t>
            </w:r>
          </w:p>
        </w:tc>
      </w:tr>
      <w:tr w:rsidR="00D90040" w14:paraId="2CAE46CB" w14:textId="77777777">
        <w:trPr>
          <w:trHeight w:val="945"/>
        </w:trPr>
        <w:tc>
          <w:tcPr>
            <w:tcW w:w="1890" w:type="dxa"/>
            <w:tcBorders>
              <w:top w:val="nil"/>
              <w:left w:val="nil"/>
              <w:bottom w:val="nil"/>
              <w:right w:val="nil"/>
            </w:tcBorders>
            <w:tcMar>
              <w:top w:w="100" w:type="dxa"/>
              <w:left w:w="100" w:type="dxa"/>
              <w:bottom w:w="100" w:type="dxa"/>
              <w:right w:w="100" w:type="dxa"/>
            </w:tcMar>
          </w:tcPr>
          <w:p w14:paraId="6FC3E7F3"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Lifetime SUDs Class</w:t>
            </w:r>
          </w:p>
        </w:tc>
        <w:tc>
          <w:tcPr>
            <w:tcW w:w="1230" w:type="dxa"/>
            <w:tcBorders>
              <w:top w:val="nil"/>
              <w:left w:val="nil"/>
              <w:bottom w:val="nil"/>
              <w:right w:val="nil"/>
            </w:tcBorders>
            <w:tcMar>
              <w:top w:w="100" w:type="dxa"/>
              <w:left w:w="100" w:type="dxa"/>
              <w:bottom w:w="100" w:type="dxa"/>
              <w:right w:w="100" w:type="dxa"/>
            </w:tcMar>
          </w:tcPr>
          <w:p w14:paraId="49A63D0E"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16.9687</w:t>
            </w:r>
          </w:p>
        </w:tc>
        <w:tc>
          <w:tcPr>
            <w:tcW w:w="1395" w:type="dxa"/>
            <w:tcBorders>
              <w:top w:val="nil"/>
              <w:left w:val="nil"/>
              <w:bottom w:val="nil"/>
              <w:right w:val="nil"/>
            </w:tcBorders>
            <w:tcMar>
              <w:top w:w="100" w:type="dxa"/>
              <w:left w:w="100" w:type="dxa"/>
              <w:bottom w:w="100" w:type="dxa"/>
              <w:right w:w="100" w:type="dxa"/>
            </w:tcMar>
          </w:tcPr>
          <w:p w14:paraId="09810B98"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5, 1497</w:t>
            </w:r>
          </w:p>
        </w:tc>
        <w:tc>
          <w:tcPr>
            <w:tcW w:w="2475" w:type="dxa"/>
            <w:tcBorders>
              <w:top w:val="nil"/>
              <w:left w:val="nil"/>
              <w:bottom w:val="nil"/>
              <w:right w:val="nil"/>
            </w:tcBorders>
            <w:tcMar>
              <w:top w:w="100" w:type="dxa"/>
              <w:left w:w="100" w:type="dxa"/>
              <w:bottom w:w="100" w:type="dxa"/>
              <w:right w:w="100" w:type="dxa"/>
            </w:tcMar>
          </w:tcPr>
          <w:p w14:paraId="36A680F7"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&lt;0.001***</w:t>
            </w:r>
          </w:p>
        </w:tc>
      </w:tr>
      <w:tr w:rsidR="00D90040" w14:paraId="794C59AF" w14:textId="77777777">
        <w:trPr>
          <w:trHeight w:val="810"/>
        </w:trPr>
        <w:tc>
          <w:tcPr>
            <w:tcW w:w="1890" w:type="dxa"/>
            <w:tcBorders>
              <w:top w:val="nil"/>
              <w:left w:val="nil"/>
              <w:bottom w:val="nil"/>
              <w:right w:val="nil"/>
            </w:tcBorders>
            <w:tcMar>
              <w:top w:w="100" w:type="dxa"/>
              <w:left w:w="100" w:type="dxa"/>
              <w:bottom w:w="100" w:type="dxa"/>
              <w:right w:w="100" w:type="dxa"/>
            </w:tcMar>
          </w:tcPr>
          <w:p w14:paraId="34DEA307"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Lifetime PTSD</w:t>
            </w:r>
          </w:p>
        </w:tc>
        <w:tc>
          <w:tcPr>
            <w:tcW w:w="1230" w:type="dxa"/>
            <w:tcBorders>
              <w:top w:val="nil"/>
              <w:left w:val="nil"/>
              <w:bottom w:val="nil"/>
              <w:right w:val="nil"/>
            </w:tcBorders>
            <w:tcMar>
              <w:top w:w="100" w:type="dxa"/>
              <w:left w:w="100" w:type="dxa"/>
              <w:bottom w:w="100" w:type="dxa"/>
              <w:right w:w="100" w:type="dxa"/>
            </w:tcMar>
          </w:tcPr>
          <w:p w14:paraId="5C210FBE"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95.8463</w:t>
            </w:r>
          </w:p>
        </w:tc>
        <w:tc>
          <w:tcPr>
            <w:tcW w:w="1395" w:type="dxa"/>
            <w:tcBorders>
              <w:top w:val="nil"/>
              <w:left w:val="nil"/>
              <w:bottom w:val="nil"/>
              <w:right w:val="nil"/>
            </w:tcBorders>
            <w:tcMar>
              <w:top w:w="100" w:type="dxa"/>
              <w:left w:w="100" w:type="dxa"/>
              <w:bottom w:w="100" w:type="dxa"/>
              <w:right w:w="100" w:type="dxa"/>
            </w:tcMar>
          </w:tcPr>
          <w:p w14:paraId="7B65E1CF"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1, 1497</w:t>
            </w:r>
          </w:p>
        </w:tc>
        <w:tc>
          <w:tcPr>
            <w:tcW w:w="2475" w:type="dxa"/>
            <w:tcBorders>
              <w:top w:val="nil"/>
              <w:left w:val="nil"/>
              <w:bottom w:val="nil"/>
              <w:right w:val="nil"/>
            </w:tcBorders>
            <w:tcMar>
              <w:top w:w="100" w:type="dxa"/>
              <w:left w:w="100" w:type="dxa"/>
              <w:bottom w:w="100" w:type="dxa"/>
              <w:right w:w="100" w:type="dxa"/>
            </w:tcMar>
          </w:tcPr>
          <w:p w14:paraId="0E94B0B9"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&lt;0.001***</w:t>
            </w:r>
          </w:p>
        </w:tc>
      </w:tr>
      <w:tr w:rsidR="00D90040" w14:paraId="63663F87" w14:textId="77777777">
        <w:trPr>
          <w:trHeight w:val="1340"/>
        </w:trPr>
        <w:tc>
          <w:tcPr>
            <w:tcW w:w="1890" w:type="dxa"/>
            <w:tcBorders>
              <w:top w:val="nil"/>
              <w:left w:val="nil"/>
              <w:bottom w:val="single" w:sz="8" w:space="0" w:color="000000"/>
              <w:right w:val="nil"/>
            </w:tcBorders>
            <w:tcMar>
              <w:top w:w="100" w:type="dxa"/>
              <w:left w:w="100" w:type="dxa"/>
              <w:bottom w:w="100" w:type="dxa"/>
              <w:right w:w="100" w:type="dxa"/>
            </w:tcMar>
          </w:tcPr>
          <w:p w14:paraId="01197C6C"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Lifetime PTSD*Lifetime SUDs Class</w:t>
            </w:r>
          </w:p>
        </w:tc>
        <w:tc>
          <w:tcPr>
            <w:tcW w:w="1230" w:type="dxa"/>
            <w:tcBorders>
              <w:top w:val="nil"/>
              <w:left w:val="nil"/>
              <w:bottom w:val="single" w:sz="8" w:space="0" w:color="000000"/>
              <w:right w:val="nil"/>
            </w:tcBorders>
            <w:tcMar>
              <w:top w:w="100" w:type="dxa"/>
              <w:left w:w="100" w:type="dxa"/>
              <w:bottom w:w="100" w:type="dxa"/>
              <w:right w:w="100" w:type="dxa"/>
            </w:tcMar>
          </w:tcPr>
          <w:p w14:paraId="49C6F9CD"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2.5763</w:t>
            </w:r>
          </w:p>
        </w:tc>
        <w:tc>
          <w:tcPr>
            <w:tcW w:w="1395" w:type="dxa"/>
            <w:tcBorders>
              <w:top w:val="nil"/>
              <w:left w:val="nil"/>
              <w:bottom w:val="single" w:sz="8" w:space="0" w:color="000000"/>
              <w:right w:val="nil"/>
            </w:tcBorders>
            <w:tcMar>
              <w:top w:w="100" w:type="dxa"/>
              <w:left w:w="100" w:type="dxa"/>
              <w:bottom w:w="100" w:type="dxa"/>
              <w:right w:w="100" w:type="dxa"/>
            </w:tcMar>
          </w:tcPr>
          <w:p w14:paraId="7169FAA6"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5, 1497</w:t>
            </w:r>
          </w:p>
        </w:tc>
        <w:tc>
          <w:tcPr>
            <w:tcW w:w="2475" w:type="dxa"/>
            <w:tcBorders>
              <w:top w:val="nil"/>
              <w:left w:val="nil"/>
              <w:bottom w:val="single" w:sz="8" w:space="0" w:color="000000"/>
              <w:right w:val="nil"/>
            </w:tcBorders>
            <w:tcMar>
              <w:top w:w="100" w:type="dxa"/>
              <w:left w:w="100" w:type="dxa"/>
              <w:bottom w:w="100" w:type="dxa"/>
              <w:right w:w="100" w:type="dxa"/>
            </w:tcMar>
          </w:tcPr>
          <w:p w14:paraId="09C19B0F"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0.025*</w:t>
            </w:r>
          </w:p>
        </w:tc>
      </w:tr>
    </w:tbl>
    <w:p w14:paraId="649FF6E8"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p-value &lt;0.001***, &lt;</w:t>
      </w:r>
      <w:r>
        <w:rPr>
          <w:rFonts w:ascii="Times New Roman" w:eastAsia="Times New Roman" w:hAnsi="Times New Roman" w:cs="Times New Roman"/>
          <w:sz w:val="24"/>
          <w:szCs w:val="24"/>
        </w:rPr>
        <w:t>0.01**, &lt;.05*</w:t>
      </w:r>
    </w:p>
    <w:p w14:paraId="67D00C74" w14:textId="77777777" w:rsidR="00D90040" w:rsidRDefault="00B46279">
      <w:pPr>
        <w:spacing w:after="20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10</w:t>
      </w:r>
    </w:p>
    <w:p w14:paraId="337AA6BE" w14:textId="77777777" w:rsidR="00D90040" w:rsidRDefault="00B46279">
      <w:pPr>
        <w:spacing w:after="200" w:line="240" w:lineRule="auto"/>
        <w:rPr>
          <w:rFonts w:ascii="Times New Roman" w:eastAsia="Times New Roman" w:hAnsi="Times New Roman" w:cs="Times New Roman"/>
          <w:b/>
          <w:sz w:val="24"/>
          <w:szCs w:val="24"/>
        </w:rPr>
      </w:pPr>
      <w:r>
        <w:rPr>
          <w:rFonts w:ascii="Times New Roman" w:eastAsia="Times New Roman" w:hAnsi="Times New Roman" w:cs="Times New Roman"/>
          <w:i/>
          <w:sz w:val="24"/>
          <w:szCs w:val="24"/>
        </w:rPr>
        <w:t>Estimated Marginal Means for Interaction of PTSD and Lifetime SUDs Class on ASI</w:t>
      </w:r>
    </w:p>
    <w:tbl>
      <w:tblPr>
        <w:tblStyle w:val="a8"/>
        <w:tblW w:w="7785" w:type="dxa"/>
        <w:tblBorders>
          <w:top w:val="nil"/>
          <w:left w:val="nil"/>
          <w:bottom w:val="nil"/>
          <w:right w:val="nil"/>
          <w:insideH w:val="nil"/>
          <w:insideV w:val="nil"/>
        </w:tblBorders>
        <w:tblLayout w:type="fixed"/>
        <w:tblLook w:val="0600" w:firstRow="0" w:lastRow="0" w:firstColumn="0" w:lastColumn="0" w:noHBand="1" w:noVBand="1"/>
      </w:tblPr>
      <w:tblGrid>
        <w:gridCol w:w="1770"/>
        <w:gridCol w:w="1740"/>
        <w:gridCol w:w="1290"/>
        <w:gridCol w:w="1290"/>
        <w:gridCol w:w="1695"/>
      </w:tblGrid>
      <w:tr w:rsidR="00D90040" w14:paraId="7EA6AE2F" w14:textId="77777777">
        <w:trPr>
          <w:trHeight w:val="1060"/>
        </w:trPr>
        <w:tc>
          <w:tcPr>
            <w:tcW w:w="1770" w:type="dxa"/>
            <w:tcBorders>
              <w:top w:val="single" w:sz="8" w:space="0" w:color="000000"/>
              <w:left w:val="nil"/>
              <w:bottom w:val="single" w:sz="8" w:space="0" w:color="000000"/>
              <w:right w:val="nil"/>
            </w:tcBorders>
            <w:tcMar>
              <w:top w:w="20" w:type="dxa"/>
              <w:left w:w="20" w:type="dxa"/>
              <w:bottom w:w="100" w:type="dxa"/>
              <w:right w:w="20" w:type="dxa"/>
            </w:tcMar>
          </w:tcPr>
          <w:p w14:paraId="035B9062"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SUDs Class</w:t>
            </w:r>
          </w:p>
        </w:tc>
        <w:tc>
          <w:tcPr>
            <w:tcW w:w="1740" w:type="dxa"/>
            <w:tcBorders>
              <w:top w:val="single" w:sz="8" w:space="0" w:color="000000"/>
              <w:left w:val="nil"/>
              <w:bottom w:val="single" w:sz="8" w:space="0" w:color="000000"/>
              <w:right w:val="nil"/>
            </w:tcBorders>
            <w:tcMar>
              <w:top w:w="20" w:type="dxa"/>
              <w:left w:w="20" w:type="dxa"/>
              <w:bottom w:w="100" w:type="dxa"/>
              <w:right w:w="20" w:type="dxa"/>
            </w:tcMar>
          </w:tcPr>
          <w:p w14:paraId="6ABEAC68"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Lifetime PTSD</w:t>
            </w:r>
          </w:p>
        </w:tc>
        <w:tc>
          <w:tcPr>
            <w:tcW w:w="1290" w:type="dxa"/>
            <w:tcBorders>
              <w:top w:val="single" w:sz="8" w:space="0" w:color="000000"/>
              <w:left w:val="nil"/>
              <w:bottom w:val="single" w:sz="8" w:space="0" w:color="000000"/>
              <w:right w:val="nil"/>
            </w:tcBorders>
            <w:tcMar>
              <w:top w:w="20" w:type="dxa"/>
              <w:left w:w="20" w:type="dxa"/>
              <w:bottom w:w="100" w:type="dxa"/>
              <w:right w:w="20" w:type="dxa"/>
            </w:tcMar>
          </w:tcPr>
          <w:p w14:paraId="2FE90373"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Mean ASI</w:t>
            </w:r>
          </w:p>
        </w:tc>
        <w:tc>
          <w:tcPr>
            <w:tcW w:w="1290" w:type="dxa"/>
            <w:tcBorders>
              <w:top w:val="single" w:sz="8" w:space="0" w:color="000000"/>
              <w:left w:val="nil"/>
              <w:bottom w:val="single" w:sz="8" w:space="0" w:color="000000"/>
              <w:right w:val="nil"/>
            </w:tcBorders>
            <w:tcMar>
              <w:top w:w="20" w:type="dxa"/>
              <w:left w:w="20" w:type="dxa"/>
              <w:bottom w:w="100" w:type="dxa"/>
              <w:right w:w="20" w:type="dxa"/>
            </w:tcMar>
          </w:tcPr>
          <w:p w14:paraId="19361B50"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Std. Error</w:t>
            </w:r>
          </w:p>
        </w:tc>
        <w:tc>
          <w:tcPr>
            <w:tcW w:w="1695" w:type="dxa"/>
            <w:tcBorders>
              <w:top w:val="single" w:sz="8" w:space="0" w:color="000000"/>
              <w:left w:val="nil"/>
              <w:bottom w:val="single" w:sz="8" w:space="0" w:color="000000"/>
              <w:right w:val="nil"/>
            </w:tcBorders>
            <w:tcMar>
              <w:top w:w="20" w:type="dxa"/>
              <w:left w:w="20" w:type="dxa"/>
              <w:bottom w:w="100" w:type="dxa"/>
              <w:right w:w="20" w:type="dxa"/>
            </w:tcMar>
          </w:tcPr>
          <w:p w14:paraId="4BC278F2"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95% Confidence Interval</w:t>
            </w:r>
          </w:p>
        </w:tc>
      </w:tr>
      <w:tr w:rsidR="00D90040" w14:paraId="2E7D9FDD" w14:textId="77777777">
        <w:trPr>
          <w:trHeight w:val="745"/>
        </w:trPr>
        <w:tc>
          <w:tcPr>
            <w:tcW w:w="1770" w:type="dxa"/>
            <w:vMerge w:val="restart"/>
            <w:tcBorders>
              <w:top w:val="single" w:sz="8" w:space="0" w:color="000000"/>
              <w:left w:val="nil"/>
              <w:bottom w:val="nil"/>
              <w:right w:val="nil"/>
            </w:tcBorders>
            <w:tcMar>
              <w:top w:w="20" w:type="dxa"/>
              <w:left w:w="20" w:type="dxa"/>
              <w:bottom w:w="100" w:type="dxa"/>
              <w:right w:w="20" w:type="dxa"/>
            </w:tcMar>
          </w:tcPr>
          <w:p w14:paraId="5B752BD8" w14:textId="77777777" w:rsidR="00D90040" w:rsidRDefault="00B46279">
            <w:pPr>
              <w:spacing w:after="20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None</w:t>
            </w:r>
          </w:p>
        </w:tc>
        <w:tc>
          <w:tcPr>
            <w:tcW w:w="1740" w:type="dxa"/>
            <w:tcBorders>
              <w:top w:val="single" w:sz="8" w:space="0" w:color="000000"/>
              <w:left w:val="nil"/>
              <w:bottom w:val="nil"/>
              <w:right w:val="nil"/>
            </w:tcBorders>
            <w:tcMar>
              <w:top w:w="20" w:type="dxa"/>
              <w:left w:w="20" w:type="dxa"/>
              <w:bottom w:w="100" w:type="dxa"/>
              <w:right w:w="20" w:type="dxa"/>
            </w:tcMar>
          </w:tcPr>
          <w:p w14:paraId="391FF787" w14:textId="77777777" w:rsidR="00D90040" w:rsidRDefault="00B46279">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Absent</w:t>
            </w:r>
          </w:p>
        </w:tc>
        <w:tc>
          <w:tcPr>
            <w:tcW w:w="1290" w:type="dxa"/>
            <w:tcBorders>
              <w:top w:val="single" w:sz="8" w:space="0" w:color="000000"/>
              <w:left w:val="nil"/>
              <w:bottom w:val="nil"/>
              <w:right w:val="nil"/>
            </w:tcBorders>
            <w:tcMar>
              <w:top w:w="20" w:type="dxa"/>
              <w:left w:w="20" w:type="dxa"/>
              <w:bottom w:w="100" w:type="dxa"/>
              <w:right w:w="20" w:type="dxa"/>
            </w:tcMar>
          </w:tcPr>
          <w:p w14:paraId="1A67CBC3"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11.303</w:t>
            </w:r>
          </w:p>
        </w:tc>
        <w:tc>
          <w:tcPr>
            <w:tcW w:w="1290" w:type="dxa"/>
            <w:tcBorders>
              <w:top w:val="single" w:sz="8" w:space="0" w:color="000000"/>
              <w:left w:val="nil"/>
              <w:bottom w:val="nil"/>
              <w:right w:val="nil"/>
            </w:tcBorders>
            <w:tcMar>
              <w:top w:w="20" w:type="dxa"/>
              <w:left w:w="20" w:type="dxa"/>
              <w:bottom w:w="100" w:type="dxa"/>
              <w:right w:w="20" w:type="dxa"/>
            </w:tcMar>
          </w:tcPr>
          <w:p w14:paraId="1B00C9E4"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1.132</w:t>
            </w:r>
          </w:p>
        </w:tc>
        <w:tc>
          <w:tcPr>
            <w:tcW w:w="1695" w:type="dxa"/>
            <w:tcBorders>
              <w:top w:val="single" w:sz="8" w:space="0" w:color="000000"/>
              <w:left w:val="nil"/>
              <w:bottom w:val="nil"/>
              <w:right w:val="nil"/>
            </w:tcBorders>
            <w:tcMar>
              <w:top w:w="20" w:type="dxa"/>
              <w:left w:w="20" w:type="dxa"/>
              <w:bottom w:w="100" w:type="dxa"/>
              <w:right w:w="20" w:type="dxa"/>
            </w:tcMar>
          </w:tcPr>
          <w:p w14:paraId="084DDF56"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9.084-13.523</w:t>
            </w:r>
          </w:p>
        </w:tc>
      </w:tr>
      <w:tr w:rsidR="00D90040" w14:paraId="2C3A17E2" w14:textId="77777777">
        <w:trPr>
          <w:trHeight w:val="745"/>
        </w:trPr>
        <w:tc>
          <w:tcPr>
            <w:tcW w:w="1770" w:type="dxa"/>
            <w:vMerge/>
            <w:tcBorders>
              <w:bottom w:val="nil"/>
              <w:right w:val="nil"/>
            </w:tcBorders>
            <w:shd w:val="clear" w:color="auto" w:fill="auto"/>
            <w:tcMar>
              <w:top w:w="100" w:type="dxa"/>
              <w:left w:w="100" w:type="dxa"/>
              <w:bottom w:w="100" w:type="dxa"/>
              <w:right w:w="100" w:type="dxa"/>
            </w:tcMar>
          </w:tcPr>
          <w:p w14:paraId="246AAEEA" w14:textId="77777777" w:rsidR="00D90040" w:rsidRDefault="00D90040">
            <w:pPr>
              <w:widowControl w:val="0"/>
              <w:rPr>
                <w:rFonts w:ascii="Times New Roman" w:eastAsia="Times New Roman" w:hAnsi="Times New Roman" w:cs="Times New Roman"/>
                <w:b/>
                <w:sz w:val="24"/>
                <w:szCs w:val="24"/>
              </w:rPr>
            </w:pPr>
          </w:p>
        </w:tc>
        <w:tc>
          <w:tcPr>
            <w:tcW w:w="1740" w:type="dxa"/>
            <w:tcBorders>
              <w:top w:val="nil"/>
              <w:left w:val="nil"/>
              <w:bottom w:val="nil"/>
              <w:right w:val="nil"/>
            </w:tcBorders>
            <w:shd w:val="clear" w:color="auto" w:fill="auto"/>
            <w:tcMar>
              <w:top w:w="20" w:type="dxa"/>
              <w:left w:w="20" w:type="dxa"/>
              <w:bottom w:w="100" w:type="dxa"/>
              <w:right w:w="20" w:type="dxa"/>
            </w:tcMar>
          </w:tcPr>
          <w:p w14:paraId="2BC50161"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Present</w:t>
            </w:r>
          </w:p>
        </w:tc>
        <w:tc>
          <w:tcPr>
            <w:tcW w:w="1290" w:type="dxa"/>
            <w:tcBorders>
              <w:top w:val="nil"/>
              <w:left w:val="nil"/>
              <w:bottom w:val="nil"/>
              <w:right w:val="nil"/>
            </w:tcBorders>
            <w:shd w:val="clear" w:color="auto" w:fill="auto"/>
            <w:tcMar>
              <w:top w:w="20" w:type="dxa"/>
              <w:left w:w="20" w:type="dxa"/>
              <w:bottom w:w="100" w:type="dxa"/>
              <w:right w:w="20" w:type="dxa"/>
            </w:tcMar>
          </w:tcPr>
          <w:p w14:paraId="3FD2ACD2"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30.269</w:t>
            </w:r>
          </w:p>
        </w:tc>
        <w:tc>
          <w:tcPr>
            <w:tcW w:w="1290" w:type="dxa"/>
            <w:tcBorders>
              <w:top w:val="nil"/>
              <w:left w:val="nil"/>
              <w:bottom w:val="nil"/>
              <w:right w:val="nil"/>
            </w:tcBorders>
            <w:shd w:val="clear" w:color="auto" w:fill="auto"/>
            <w:tcMar>
              <w:top w:w="20" w:type="dxa"/>
              <w:left w:w="20" w:type="dxa"/>
              <w:bottom w:w="100" w:type="dxa"/>
              <w:right w:w="20" w:type="dxa"/>
            </w:tcMar>
          </w:tcPr>
          <w:p w14:paraId="103CD22D"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3.612</w:t>
            </w:r>
          </w:p>
        </w:tc>
        <w:tc>
          <w:tcPr>
            <w:tcW w:w="1695" w:type="dxa"/>
            <w:tcBorders>
              <w:top w:val="nil"/>
              <w:left w:val="nil"/>
              <w:bottom w:val="nil"/>
              <w:right w:val="nil"/>
            </w:tcBorders>
            <w:shd w:val="clear" w:color="auto" w:fill="auto"/>
            <w:tcMar>
              <w:top w:w="20" w:type="dxa"/>
              <w:left w:w="20" w:type="dxa"/>
              <w:bottom w:w="100" w:type="dxa"/>
              <w:right w:w="20" w:type="dxa"/>
            </w:tcMar>
          </w:tcPr>
          <w:p w14:paraId="0857D2AE"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23.184-37.355</w:t>
            </w:r>
          </w:p>
        </w:tc>
      </w:tr>
      <w:tr w:rsidR="00D90040" w14:paraId="3E45B844" w14:textId="77777777">
        <w:trPr>
          <w:trHeight w:val="745"/>
        </w:trPr>
        <w:tc>
          <w:tcPr>
            <w:tcW w:w="1770" w:type="dxa"/>
            <w:vMerge w:val="restart"/>
            <w:tcBorders>
              <w:top w:val="nil"/>
              <w:left w:val="nil"/>
              <w:bottom w:val="nil"/>
              <w:right w:val="nil"/>
            </w:tcBorders>
            <w:shd w:val="clear" w:color="auto" w:fill="auto"/>
            <w:tcMar>
              <w:top w:w="20" w:type="dxa"/>
              <w:left w:w="20" w:type="dxa"/>
              <w:bottom w:w="100" w:type="dxa"/>
              <w:right w:w="20" w:type="dxa"/>
            </w:tcMar>
          </w:tcPr>
          <w:p w14:paraId="4BB2F532" w14:textId="77777777" w:rsidR="00D90040" w:rsidRDefault="00B46279">
            <w:pPr>
              <w:spacing w:after="20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Opiate and Cocaine</w:t>
            </w:r>
          </w:p>
        </w:tc>
        <w:tc>
          <w:tcPr>
            <w:tcW w:w="1740" w:type="dxa"/>
            <w:tcBorders>
              <w:top w:val="nil"/>
              <w:left w:val="nil"/>
              <w:bottom w:val="nil"/>
              <w:right w:val="nil"/>
            </w:tcBorders>
            <w:shd w:val="clear" w:color="auto" w:fill="auto"/>
            <w:tcMar>
              <w:top w:w="20" w:type="dxa"/>
              <w:left w:w="20" w:type="dxa"/>
              <w:bottom w:w="100" w:type="dxa"/>
              <w:right w:w="20" w:type="dxa"/>
            </w:tcMar>
          </w:tcPr>
          <w:p w14:paraId="2B754C91" w14:textId="77777777" w:rsidR="00D90040" w:rsidRDefault="00B46279">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Absent</w:t>
            </w:r>
          </w:p>
        </w:tc>
        <w:tc>
          <w:tcPr>
            <w:tcW w:w="1290" w:type="dxa"/>
            <w:tcBorders>
              <w:top w:val="nil"/>
              <w:left w:val="nil"/>
              <w:bottom w:val="nil"/>
              <w:right w:val="nil"/>
            </w:tcBorders>
            <w:shd w:val="clear" w:color="auto" w:fill="auto"/>
            <w:tcMar>
              <w:top w:w="20" w:type="dxa"/>
              <w:left w:w="20" w:type="dxa"/>
              <w:bottom w:w="100" w:type="dxa"/>
              <w:right w:w="20" w:type="dxa"/>
            </w:tcMar>
          </w:tcPr>
          <w:p w14:paraId="4E072281"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17.920</w:t>
            </w:r>
          </w:p>
        </w:tc>
        <w:tc>
          <w:tcPr>
            <w:tcW w:w="1290" w:type="dxa"/>
            <w:tcBorders>
              <w:top w:val="nil"/>
              <w:left w:val="nil"/>
              <w:bottom w:val="nil"/>
              <w:right w:val="nil"/>
            </w:tcBorders>
            <w:shd w:val="clear" w:color="auto" w:fill="auto"/>
            <w:tcMar>
              <w:top w:w="20" w:type="dxa"/>
              <w:left w:w="20" w:type="dxa"/>
              <w:bottom w:w="100" w:type="dxa"/>
              <w:right w:w="20" w:type="dxa"/>
            </w:tcMar>
          </w:tcPr>
          <w:p w14:paraId="02C381D0"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1.313</w:t>
            </w:r>
          </w:p>
        </w:tc>
        <w:tc>
          <w:tcPr>
            <w:tcW w:w="1695" w:type="dxa"/>
            <w:tcBorders>
              <w:top w:val="nil"/>
              <w:left w:val="nil"/>
              <w:bottom w:val="nil"/>
              <w:right w:val="nil"/>
            </w:tcBorders>
            <w:shd w:val="clear" w:color="auto" w:fill="auto"/>
            <w:tcMar>
              <w:top w:w="20" w:type="dxa"/>
              <w:left w:w="20" w:type="dxa"/>
              <w:bottom w:w="100" w:type="dxa"/>
              <w:right w:w="20" w:type="dxa"/>
            </w:tcMar>
          </w:tcPr>
          <w:p w14:paraId="2157BEF6"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15.344-29.496</w:t>
            </w:r>
          </w:p>
        </w:tc>
      </w:tr>
      <w:tr w:rsidR="00D90040" w14:paraId="0C572BC1" w14:textId="77777777">
        <w:trPr>
          <w:trHeight w:val="745"/>
        </w:trPr>
        <w:tc>
          <w:tcPr>
            <w:tcW w:w="1770" w:type="dxa"/>
            <w:vMerge/>
            <w:tcBorders>
              <w:bottom w:val="nil"/>
              <w:right w:val="nil"/>
            </w:tcBorders>
            <w:shd w:val="clear" w:color="auto" w:fill="auto"/>
            <w:tcMar>
              <w:top w:w="100" w:type="dxa"/>
              <w:left w:w="100" w:type="dxa"/>
              <w:bottom w:w="100" w:type="dxa"/>
              <w:right w:w="100" w:type="dxa"/>
            </w:tcMar>
          </w:tcPr>
          <w:p w14:paraId="13BACB78" w14:textId="77777777" w:rsidR="00D90040" w:rsidRDefault="00D90040">
            <w:pPr>
              <w:widowControl w:val="0"/>
              <w:rPr>
                <w:rFonts w:ascii="Times New Roman" w:eastAsia="Times New Roman" w:hAnsi="Times New Roman" w:cs="Times New Roman"/>
                <w:b/>
                <w:sz w:val="24"/>
                <w:szCs w:val="24"/>
              </w:rPr>
            </w:pPr>
          </w:p>
        </w:tc>
        <w:tc>
          <w:tcPr>
            <w:tcW w:w="1740" w:type="dxa"/>
            <w:tcBorders>
              <w:top w:val="nil"/>
              <w:left w:val="nil"/>
              <w:bottom w:val="nil"/>
              <w:right w:val="nil"/>
            </w:tcBorders>
            <w:shd w:val="clear" w:color="auto" w:fill="auto"/>
            <w:tcMar>
              <w:top w:w="20" w:type="dxa"/>
              <w:left w:w="20" w:type="dxa"/>
              <w:bottom w:w="100" w:type="dxa"/>
              <w:right w:w="20" w:type="dxa"/>
            </w:tcMar>
          </w:tcPr>
          <w:p w14:paraId="001C6801"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Present</w:t>
            </w:r>
          </w:p>
        </w:tc>
        <w:tc>
          <w:tcPr>
            <w:tcW w:w="1290" w:type="dxa"/>
            <w:tcBorders>
              <w:top w:val="nil"/>
              <w:left w:val="nil"/>
              <w:bottom w:val="nil"/>
              <w:right w:val="nil"/>
            </w:tcBorders>
            <w:shd w:val="clear" w:color="auto" w:fill="auto"/>
            <w:tcMar>
              <w:top w:w="20" w:type="dxa"/>
              <w:left w:w="20" w:type="dxa"/>
              <w:bottom w:w="100" w:type="dxa"/>
              <w:right w:w="20" w:type="dxa"/>
            </w:tcMar>
          </w:tcPr>
          <w:p w14:paraId="5CCEA4AF"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31.081</w:t>
            </w:r>
          </w:p>
        </w:tc>
        <w:tc>
          <w:tcPr>
            <w:tcW w:w="1290" w:type="dxa"/>
            <w:tcBorders>
              <w:top w:val="nil"/>
              <w:left w:val="nil"/>
              <w:bottom w:val="nil"/>
              <w:right w:val="nil"/>
            </w:tcBorders>
            <w:shd w:val="clear" w:color="auto" w:fill="auto"/>
            <w:tcMar>
              <w:top w:w="20" w:type="dxa"/>
              <w:left w:w="20" w:type="dxa"/>
              <w:bottom w:w="100" w:type="dxa"/>
              <w:right w:w="20" w:type="dxa"/>
            </w:tcMar>
          </w:tcPr>
          <w:p w14:paraId="7E90C1DC"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2.949</w:t>
            </w:r>
          </w:p>
        </w:tc>
        <w:tc>
          <w:tcPr>
            <w:tcW w:w="1695" w:type="dxa"/>
            <w:tcBorders>
              <w:top w:val="nil"/>
              <w:left w:val="nil"/>
              <w:bottom w:val="nil"/>
              <w:right w:val="nil"/>
            </w:tcBorders>
            <w:shd w:val="clear" w:color="auto" w:fill="auto"/>
            <w:tcMar>
              <w:top w:w="20" w:type="dxa"/>
              <w:left w:w="20" w:type="dxa"/>
              <w:bottom w:w="100" w:type="dxa"/>
              <w:right w:w="20" w:type="dxa"/>
            </w:tcMar>
          </w:tcPr>
          <w:p w14:paraId="126A1FEB"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25.297-36.865</w:t>
            </w:r>
          </w:p>
        </w:tc>
      </w:tr>
      <w:tr w:rsidR="00D90040" w14:paraId="7D0ECE1C" w14:textId="77777777">
        <w:trPr>
          <w:trHeight w:val="745"/>
        </w:trPr>
        <w:tc>
          <w:tcPr>
            <w:tcW w:w="1770" w:type="dxa"/>
            <w:vMerge w:val="restart"/>
            <w:tcBorders>
              <w:top w:val="nil"/>
              <w:left w:val="nil"/>
              <w:bottom w:val="nil"/>
              <w:right w:val="nil"/>
            </w:tcBorders>
            <w:tcMar>
              <w:top w:w="20" w:type="dxa"/>
              <w:left w:w="20" w:type="dxa"/>
              <w:bottom w:w="100" w:type="dxa"/>
              <w:right w:w="20" w:type="dxa"/>
            </w:tcMar>
          </w:tcPr>
          <w:p w14:paraId="07363321" w14:textId="77777777" w:rsidR="00D90040" w:rsidRDefault="00B46279">
            <w:pPr>
              <w:spacing w:after="20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Alcohol and Cocaine</w:t>
            </w:r>
          </w:p>
        </w:tc>
        <w:tc>
          <w:tcPr>
            <w:tcW w:w="1740" w:type="dxa"/>
            <w:tcBorders>
              <w:top w:val="nil"/>
              <w:left w:val="nil"/>
              <w:bottom w:val="nil"/>
              <w:right w:val="nil"/>
            </w:tcBorders>
            <w:tcMar>
              <w:top w:w="20" w:type="dxa"/>
              <w:left w:w="20" w:type="dxa"/>
              <w:bottom w:w="100" w:type="dxa"/>
              <w:right w:w="20" w:type="dxa"/>
            </w:tcMar>
          </w:tcPr>
          <w:p w14:paraId="45542C50" w14:textId="77777777" w:rsidR="00D90040" w:rsidRDefault="00B46279">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Absent</w:t>
            </w:r>
          </w:p>
        </w:tc>
        <w:tc>
          <w:tcPr>
            <w:tcW w:w="1290" w:type="dxa"/>
            <w:tcBorders>
              <w:top w:val="nil"/>
              <w:left w:val="nil"/>
              <w:bottom w:val="nil"/>
              <w:right w:val="nil"/>
            </w:tcBorders>
            <w:tcMar>
              <w:top w:w="20" w:type="dxa"/>
              <w:left w:w="20" w:type="dxa"/>
              <w:bottom w:w="100" w:type="dxa"/>
              <w:right w:w="20" w:type="dxa"/>
            </w:tcMar>
          </w:tcPr>
          <w:p w14:paraId="4934E329"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22.696</w:t>
            </w:r>
          </w:p>
        </w:tc>
        <w:tc>
          <w:tcPr>
            <w:tcW w:w="1290" w:type="dxa"/>
            <w:tcBorders>
              <w:top w:val="nil"/>
              <w:left w:val="nil"/>
              <w:bottom w:val="nil"/>
              <w:right w:val="nil"/>
            </w:tcBorders>
            <w:tcMar>
              <w:top w:w="20" w:type="dxa"/>
              <w:left w:w="20" w:type="dxa"/>
              <w:bottom w:w="100" w:type="dxa"/>
              <w:right w:w="20" w:type="dxa"/>
            </w:tcMar>
          </w:tcPr>
          <w:p w14:paraId="0CFB7D88"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0.917</w:t>
            </w:r>
          </w:p>
        </w:tc>
        <w:tc>
          <w:tcPr>
            <w:tcW w:w="1695" w:type="dxa"/>
            <w:tcBorders>
              <w:top w:val="nil"/>
              <w:left w:val="nil"/>
              <w:bottom w:val="nil"/>
              <w:right w:val="nil"/>
            </w:tcBorders>
            <w:tcMar>
              <w:top w:w="20" w:type="dxa"/>
              <w:left w:w="20" w:type="dxa"/>
              <w:bottom w:w="100" w:type="dxa"/>
              <w:right w:w="20" w:type="dxa"/>
            </w:tcMar>
          </w:tcPr>
          <w:p w14:paraId="270B7185"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20.895-24.497</w:t>
            </w:r>
          </w:p>
        </w:tc>
      </w:tr>
      <w:tr w:rsidR="00D90040" w14:paraId="5B9FCAA2" w14:textId="77777777">
        <w:trPr>
          <w:trHeight w:val="745"/>
        </w:trPr>
        <w:tc>
          <w:tcPr>
            <w:tcW w:w="1770" w:type="dxa"/>
            <w:vMerge/>
            <w:tcBorders>
              <w:top w:val="nil"/>
              <w:left w:val="nil"/>
              <w:bottom w:val="nil"/>
              <w:right w:val="nil"/>
            </w:tcBorders>
            <w:tcMar>
              <w:top w:w="20" w:type="dxa"/>
              <w:left w:w="20" w:type="dxa"/>
              <w:bottom w:w="100" w:type="dxa"/>
              <w:right w:w="20" w:type="dxa"/>
            </w:tcMar>
          </w:tcPr>
          <w:p w14:paraId="3C05FD5C" w14:textId="77777777" w:rsidR="00D90040" w:rsidRDefault="00D90040">
            <w:pPr>
              <w:spacing w:line="240" w:lineRule="auto"/>
              <w:jc w:val="center"/>
              <w:rPr>
                <w:rFonts w:ascii="Times New Roman" w:eastAsia="Times New Roman" w:hAnsi="Times New Roman" w:cs="Times New Roman"/>
                <w:sz w:val="24"/>
                <w:szCs w:val="24"/>
              </w:rPr>
            </w:pPr>
          </w:p>
        </w:tc>
        <w:tc>
          <w:tcPr>
            <w:tcW w:w="1740" w:type="dxa"/>
            <w:tcBorders>
              <w:top w:val="nil"/>
              <w:left w:val="nil"/>
              <w:bottom w:val="nil"/>
              <w:right w:val="nil"/>
            </w:tcBorders>
            <w:tcMar>
              <w:top w:w="20" w:type="dxa"/>
              <w:left w:w="20" w:type="dxa"/>
              <w:bottom w:w="100" w:type="dxa"/>
              <w:right w:w="20" w:type="dxa"/>
            </w:tcMar>
          </w:tcPr>
          <w:p w14:paraId="4CD58F8F" w14:textId="77777777" w:rsidR="00D90040" w:rsidRDefault="00B46279">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Present</w:t>
            </w:r>
          </w:p>
        </w:tc>
        <w:tc>
          <w:tcPr>
            <w:tcW w:w="1290" w:type="dxa"/>
            <w:tcBorders>
              <w:top w:val="nil"/>
              <w:left w:val="nil"/>
              <w:bottom w:val="nil"/>
              <w:right w:val="nil"/>
            </w:tcBorders>
            <w:tcMar>
              <w:top w:w="20" w:type="dxa"/>
              <w:left w:w="20" w:type="dxa"/>
              <w:bottom w:w="100" w:type="dxa"/>
              <w:right w:w="20" w:type="dxa"/>
            </w:tcMar>
          </w:tcPr>
          <w:p w14:paraId="37F13252"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34.474</w:t>
            </w:r>
          </w:p>
        </w:tc>
        <w:tc>
          <w:tcPr>
            <w:tcW w:w="1290" w:type="dxa"/>
            <w:tcBorders>
              <w:top w:val="nil"/>
              <w:left w:val="nil"/>
              <w:bottom w:val="nil"/>
              <w:right w:val="nil"/>
            </w:tcBorders>
            <w:tcMar>
              <w:top w:w="20" w:type="dxa"/>
              <w:left w:w="20" w:type="dxa"/>
              <w:bottom w:w="100" w:type="dxa"/>
              <w:right w:w="20" w:type="dxa"/>
            </w:tcMar>
          </w:tcPr>
          <w:p w14:paraId="3B2457AB"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1.735</w:t>
            </w:r>
          </w:p>
        </w:tc>
        <w:tc>
          <w:tcPr>
            <w:tcW w:w="1695" w:type="dxa"/>
            <w:tcBorders>
              <w:top w:val="nil"/>
              <w:left w:val="nil"/>
              <w:bottom w:val="nil"/>
              <w:right w:val="nil"/>
            </w:tcBorders>
            <w:tcMar>
              <w:top w:w="20" w:type="dxa"/>
              <w:left w:w="20" w:type="dxa"/>
              <w:bottom w:w="100" w:type="dxa"/>
              <w:right w:w="20" w:type="dxa"/>
            </w:tcMar>
          </w:tcPr>
          <w:p w14:paraId="7C4419D4"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31.072-37.877</w:t>
            </w:r>
          </w:p>
        </w:tc>
      </w:tr>
      <w:tr w:rsidR="00D90040" w14:paraId="465EFA7F" w14:textId="77777777">
        <w:trPr>
          <w:trHeight w:val="745"/>
        </w:trPr>
        <w:tc>
          <w:tcPr>
            <w:tcW w:w="1770" w:type="dxa"/>
            <w:vMerge w:val="restart"/>
            <w:tcBorders>
              <w:top w:val="nil"/>
              <w:left w:val="nil"/>
              <w:bottom w:val="nil"/>
              <w:right w:val="nil"/>
            </w:tcBorders>
            <w:tcMar>
              <w:top w:w="20" w:type="dxa"/>
              <w:left w:w="20" w:type="dxa"/>
              <w:bottom w:w="100" w:type="dxa"/>
              <w:right w:w="20" w:type="dxa"/>
            </w:tcMar>
          </w:tcPr>
          <w:p w14:paraId="1C2D82FE" w14:textId="77777777" w:rsidR="00D90040" w:rsidRDefault="00B46279">
            <w:pPr>
              <w:spacing w:after="20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Hallucinogen </w:t>
            </w:r>
          </w:p>
        </w:tc>
        <w:tc>
          <w:tcPr>
            <w:tcW w:w="1740" w:type="dxa"/>
            <w:tcBorders>
              <w:top w:val="nil"/>
              <w:left w:val="nil"/>
              <w:bottom w:val="nil"/>
              <w:right w:val="nil"/>
            </w:tcBorders>
            <w:tcMar>
              <w:top w:w="20" w:type="dxa"/>
              <w:left w:w="20" w:type="dxa"/>
              <w:bottom w:w="100" w:type="dxa"/>
              <w:right w:w="20" w:type="dxa"/>
            </w:tcMar>
          </w:tcPr>
          <w:p w14:paraId="19071175" w14:textId="77777777" w:rsidR="00D90040" w:rsidRDefault="00B46279">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Absent</w:t>
            </w:r>
          </w:p>
        </w:tc>
        <w:tc>
          <w:tcPr>
            <w:tcW w:w="1290" w:type="dxa"/>
            <w:tcBorders>
              <w:top w:val="nil"/>
              <w:left w:val="nil"/>
              <w:bottom w:val="nil"/>
              <w:right w:val="nil"/>
            </w:tcBorders>
            <w:tcMar>
              <w:top w:w="20" w:type="dxa"/>
              <w:left w:w="20" w:type="dxa"/>
              <w:bottom w:w="100" w:type="dxa"/>
              <w:right w:w="20" w:type="dxa"/>
            </w:tcMar>
          </w:tcPr>
          <w:p w14:paraId="3F357E69"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20.094</w:t>
            </w:r>
          </w:p>
        </w:tc>
        <w:tc>
          <w:tcPr>
            <w:tcW w:w="1290" w:type="dxa"/>
            <w:tcBorders>
              <w:top w:val="nil"/>
              <w:left w:val="nil"/>
              <w:bottom w:val="nil"/>
              <w:right w:val="nil"/>
            </w:tcBorders>
            <w:tcMar>
              <w:top w:w="20" w:type="dxa"/>
              <w:left w:w="20" w:type="dxa"/>
              <w:bottom w:w="100" w:type="dxa"/>
              <w:right w:w="20" w:type="dxa"/>
            </w:tcMar>
          </w:tcPr>
          <w:p w14:paraId="023F51DF"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1.538</w:t>
            </w:r>
          </w:p>
        </w:tc>
        <w:tc>
          <w:tcPr>
            <w:tcW w:w="1695" w:type="dxa"/>
            <w:tcBorders>
              <w:top w:val="nil"/>
              <w:left w:val="nil"/>
              <w:bottom w:val="nil"/>
              <w:right w:val="nil"/>
            </w:tcBorders>
            <w:tcMar>
              <w:top w:w="20" w:type="dxa"/>
              <w:left w:w="20" w:type="dxa"/>
              <w:bottom w:w="100" w:type="dxa"/>
              <w:right w:w="20" w:type="dxa"/>
            </w:tcMar>
          </w:tcPr>
          <w:p w14:paraId="523495AD"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17.077-23.112</w:t>
            </w:r>
          </w:p>
        </w:tc>
      </w:tr>
      <w:tr w:rsidR="00D90040" w14:paraId="45C14B7B" w14:textId="77777777">
        <w:trPr>
          <w:trHeight w:val="745"/>
        </w:trPr>
        <w:tc>
          <w:tcPr>
            <w:tcW w:w="1770" w:type="dxa"/>
            <w:vMerge/>
            <w:tcBorders>
              <w:bottom w:val="nil"/>
              <w:right w:val="nil"/>
            </w:tcBorders>
            <w:shd w:val="clear" w:color="auto" w:fill="auto"/>
            <w:tcMar>
              <w:top w:w="100" w:type="dxa"/>
              <w:left w:w="100" w:type="dxa"/>
              <w:bottom w:w="100" w:type="dxa"/>
              <w:right w:w="100" w:type="dxa"/>
            </w:tcMar>
          </w:tcPr>
          <w:p w14:paraId="44BCB327" w14:textId="77777777" w:rsidR="00D90040" w:rsidRDefault="00D90040">
            <w:pPr>
              <w:widowControl w:val="0"/>
              <w:spacing w:line="240" w:lineRule="auto"/>
              <w:jc w:val="center"/>
              <w:rPr>
                <w:rFonts w:ascii="Times New Roman" w:eastAsia="Times New Roman" w:hAnsi="Times New Roman" w:cs="Times New Roman"/>
                <w:b/>
                <w:sz w:val="24"/>
                <w:szCs w:val="24"/>
              </w:rPr>
            </w:pPr>
          </w:p>
        </w:tc>
        <w:tc>
          <w:tcPr>
            <w:tcW w:w="1740" w:type="dxa"/>
            <w:tcBorders>
              <w:top w:val="nil"/>
              <w:left w:val="nil"/>
              <w:bottom w:val="nil"/>
              <w:right w:val="nil"/>
            </w:tcBorders>
            <w:shd w:val="clear" w:color="auto" w:fill="auto"/>
            <w:tcMar>
              <w:top w:w="20" w:type="dxa"/>
              <w:left w:w="20" w:type="dxa"/>
              <w:bottom w:w="100" w:type="dxa"/>
              <w:right w:w="20" w:type="dxa"/>
            </w:tcMar>
          </w:tcPr>
          <w:p w14:paraId="1631B0EB"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Present</w:t>
            </w:r>
          </w:p>
        </w:tc>
        <w:tc>
          <w:tcPr>
            <w:tcW w:w="1290" w:type="dxa"/>
            <w:tcBorders>
              <w:top w:val="nil"/>
              <w:left w:val="nil"/>
              <w:bottom w:val="nil"/>
              <w:right w:val="nil"/>
            </w:tcBorders>
            <w:shd w:val="clear" w:color="auto" w:fill="auto"/>
            <w:tcMar>
              <w:top w:w="20" w:type="dxa"/>
              <w:left w:w="20" w:type="dxa"/>
              <w:bottom w:w="100" w:type="dxa"/>
              <w:right w:w="20" w:type="dxa"/>
            </w:tcMar>
          </w:tcPr>
          <w:p w14:paraId="0B5CE15E"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29.947</w:t>
            </w:r>
          </w:p>
        </w:tc>
        <w:tc>
          <w:tcPr>
            <w:tcW w:w="1290" w:type="dxa"/>
            <w:tcBorders>
              <w:top w:val="nil"/>
              <w:left w:val="nil"/>
              <w:bottom w:val="nil"/>
              <w:right w:val="nil"/>
            </w:tcBorders>
            <w:shd w:val="clear" w:color="auto" w:fill="auto"/>
            <w:tcMar>
              <w:top w:w="20" w:type="dxa"/>
              <w:left w:w="20" w:type="dxa"/>
              <w:bottom w:w="100" w:type="dxa"/>
              <w:right w:w="20" w:type="dxa"/>
            </w:tcMar>
          </w:tcPr>
          <w:p w14:paraId="053E9D42"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2.794</w:t>
            </w:r>
          </w:p>
        </w:tc>
        <w:tc>
          <w:tcPr>
            <w:tcW w:w="1695" w:type="dxa"/>
            <w:tcBorders>
              <w:top w:val="nil"/>
              <w:left w:val="nil"/>
              <w:bottom w:val="nil"/>
              <w:right w:val="nil"/>
            </w:tcBorders>
            <w:shd w:val="clear" w:color="auto" w:fill="auto"/>
            <w:tcMar>
              <w:top w:w="20" w:type="dxa"/>
              <w:left w:w="20" w:type="dxa"/>
              <w:bottom w:w="100" w:type="dxa"/>
              <w:right w:w="20" w:type="dxa"/>
            </w:tcMar>
          </w:tcPr>
          <w:p w14:paraId="4E2392BD"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24.467-35.430</w:t>
            </w:r>
          </w:p>
        </w:tc>
      </w:tr>
      <w:tr w:rsidR="00D90040" w14:paraId="672B85FE" w14:textId="77777777">
        <w:trPr>
          <w:trHeight w:val="745"/>
        </w:trPr>
        <w:tc>
          <w:tcPr>
            <w:tcW w:w="1770" w:type="dxa"/>
            <w:vMerge w:val="restart"/>
            <w:tcBorders>
              <w:top w:val="nil"/>
              <w:bottom w:val="nil"/>
              <w:right w:val="nil"/>
            </w:tcBorders>
            <w:shd w:val="clear" w:color="auto" w:fill="auto"/>
            <w:tcMar>
              <w:top w:w="100" w:type="dxa"/>
              <w:left w:w="100" w:type="dxa"/>
              <w:bottom w:w="100" w:type="dxa"/>
              <w:right w:w="100" w:type="dxa"/>
            </w:tcMar>
          </w:tcPr>
          <w:p w14:paraId="237979F6" w14:textId="77777777" w:rsidR="00D90040" w:rsidRDefault="00B46279">
            <w:pPr>
              <w:widowControl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All</w:t>
            </w:r>
          </w:p>
        </w:tc>
        <w:tc>
          <w:tcPr>
            <w:tcW w:w="1740" w:type="dxa"/>
            <w:tcBorders>
              <w:top w:val="nil"/>
              <w:left w:val="nil"/>
              <w:bottom w:val="nil"/>
              <w:right w:val="nil"/>
            </w:tcBorders>
            <w:shd w:val="clear" w:color="auto" w:fill="auto"/>
            <w:tcMar>
              <w:top w:w="20" w:type="dxa"/>
              <w:left w:w="20" w:type="dxa"/>
              <w:bottom w:w="100" w:type="dxa"/>
              <w:right w:w="20" w:type="dxa"/>
            </w:tcMar>
          </w:tcPr>
          <w:p w14:paraId="0648A8C3"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Absent</w:t>
            </w:r>
          </w:p>
        </w:tc>
        <w:tc>
          <w:tcPr>
            <w:tcW w:w="1290" w:type="dxa"/>
            <w:tcBorders>
              <w:top w:val="nil"/>
              <w:left w:val="nil"/>
              <w:bottom w:val="nil"/>
              <w:right w:val="nil"/>
            </w:tcBorders>
            <w:shd w:val="clear" w:color="auto" w:fill="auto"/>
            <w:tcMar>
              <w:top w:w="20" w:type="dxa"/>
              <w:left w:w="20" w:type="dxa"/>
              <w:bottom w:w="100" w:type="dxa"/>
              <w:right w:w="20" w:type="dxa"/>
            </w:tcMar>
          </w:tcPr>
          <w:p w14:paraId="2C7F04E0"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23.073</w:t>
            </w:r>
          </w:p>
        </w:tc>
        <w:tc>
          <w:tcPr>
            <w:tcW w:w="1290" w:type="dxa"/>
            <w:tcBorders>
              <w:top w:val="nil"/>
              <w:left w:val="nil"/>
              <w:bottom w:val="nil"/>
              <w:right w:val="nil"/>
            </w:tcBorders>
            <w:shd w:val="clear" w:color="auto" w:fill="auto"/>
            <w:tcMar>
              <w:top w:w="20" w:type="dxa"/>
              <w:left w:w="20" w:type="dxa"/>
              <w:bottom w:w="100" w:type="dxa"/>
              <w:right w:w="20" w:type="dxa"/>
            </w:tcMar>
          </w:tcPr>
          <w:p w14:paraId="1FEADC85"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0.996</w:t>
            </w:r>
          </w:p>
        </w:tc>
        <w:tc>
          <w:tcPr>
            <w:tcW w:w="1695" w:type="dxa"/>
            <w:tcBorders>
              <w:top w:val="nil"/>
              <w:left w:val="nil"/>
              <w:bottom w:val="nil"/>
              <w:right w:val="nil"/>
            </w:tcBorders>
            <w:shd w:val="clear" w:color="auto" w:fill="auto"/>
            <w:tcMar>
              <w:top w:w="20" w:type="dxa"/>
              <w:left w:w="20" w:type="dxa"/>
              <w:bottom w:w="100" w:type="dxa"/>
              <w:right w:w="20" w:type="dxa"/>
            </w:tcMar>
          </w:tcPr>
          <w:p w14:paraId="101A9750"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21.119-25.026</w:t>
            </w:r>
          </w:p>
        </w:tc>
      </w:tr>
      <w:tr w:rsidR="00D90040" w14:paraId="03263D4C" w14:textId="77777777">
        <w:trPr>
          <w:trHeight w:val="745"/>
        </w:trPr>
        <w:tc>
          <w:tcPr>
            <w:tcW w:w="1770" w:type="dxa"/>
            <w:vMerge/>
            <w:tcBorders>
              <w:top w:val="nil"/>
              <w:bottom w:val="single" w:sz="8" w:space="0" w:color="000000"/>
              <w:right w:val="nil"/>
            </w:tcBorders>
            <w:shd w:val="clear" w:color="auto" w:fill="auto"/>
            <w:tcMar>
              <w:top w:w="100" w:type="dxa"/>
              <w:left w:w="100" w:type="dxa"/>
              <w:bottom w:w="100" w:type="dxa"/>
              <w:right w:w="100" w:type="dxa"/>
            </w:tcMar>
          </w:tcPr>
          <w:p w14:paraId="0BC04861" w14:textId="77777777" w:rsidR="00D90040" w:rsidRDefault="00D90040">
            <w:pPr>
              <w:widowControl w:val="0"/>
              <w:spacing w:line="240" w:lineRule="auto"/>
              <w:rPr>
                <w:rFonts w:ascii="Times New Roman" w:eastAsia="Times New Roman" w:hAnsi="Times New Roman" w:cs="Times New Roman"/>
                <w:b/>
                <w:sz w:val="24"/>
                <w:szCs w:val="24"/>
              </w:rPr>
            </w:pPr>
          </w:p>
        </w:tc>
        <w:tc>
          <w:tcPr>
            <w:tcW w:w="1740" w:type="dxa"/>
            <w:tcBorders>
              <w:top w:val="nil"/>
              <w:left w:val="nil"/>
              <w:bottom w:val="single" w:sz="8" w:space="0" w:color="000000"/>
              <w:right w:val="nil"/>
            </w:tcBorders>
            <w:shd w:val="clear" w:color="auto" w:fill="auto"/>
            <w:tcMar>
              <w:top w:w="20" w:type="dxa"/>
              <w:left w:w="20" w:type="dxa"/>
              <w:bottom w:w="100" w:type="dxa"/>
              <w:right w:w="20" w:type="dxa"/>
            </w:tcMar>
          </w:tcPr>
          <w:p w14:paraId="6AA56250"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Present</w:t>
            </w:r>
          </w:p>
        </w:tc>
        <w:tc>
          <w:tcPr>
            <w:tcW w:w="1290" w:type="dxa"/>
            <w:tcBorders>
              <w:top w:val="nil"/>
              <w:left w:val="nil"/>
              <w:bottom w:val="single" w:sz="8" w:space="0" w:color="000000"/>
              <w:right w:val="nil"/>
            </w:tcBorders>
            <w:shd w:val="clear" w:color="auto" w:fill="auto"/>
            <w:tcMar>
              <w:top w:w="20" w:type="dxa"/>
              <w:left w:w="20" w:type="dxa"/>
              <w:bottom w:w="100" w:type="dxa"/>
              <w:right w:w="20" w:type="dxa"/>
            </w:tcMar>
          </w:tcPr>
          <w:p w14:paraId="65B9964A"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32.002</w:t>
            </w:r>
          </w:p>
        </w:tc>
        <w:tc>
          <w:tcPr>
            <w:tcW w:w="1290" w:type="dxa"/>
            <w:tcBorders>
              <w:top w:val="nil"/>
              <w:left w:val="nil"/>
              <w:bottom w:val="single" w:sz="8" w:space="0" w:color="000000"/>
              <w:right w:val="nil"/>
            </w:tcBorders>
            <w:shd w:val="clear" w:color="auto" w:fill="auto"/>
            <w:tcMar>
              <w:top w:w="20" w:type="dxa"/>
              <w:left w:w="20" w:type="dxa"/>
              <w:bottom w:w="100" w:type="dxa"/>
              <w:right w:w="20" w:type="dxa"/>
            </w:tcMar>
          </w:tcPr>
          <w:p w14:paraId="1BC77F0F"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1.708</w:t>
            </w:r>
          </w:p>
        </w:tc>
        <w:tc>
          <w:tcPr>
            <w:tcW w:w="1695" w:type="dxa"/>
            <w:tcBorders>
              <w:top w:val="nil"/>
              <w:left w:val="nil"/>
              <w:bottom w:val="single" w:sz="8" w:space="0" w:color="000000"/>
              <w:right w:val="nil"/>
            </w:tcBorders>
            <w:shd w:val="clear" w:color="auto" w:fill="auto"/>
            <w:tcMar>
              <w:top w:w="20" w:type="dxa"/>
              <w:left w:w="20" w:type="dxa"/>
              <w:bottom w:w="100" w:type="dxa"/>
              <w:right w:w="20" w:type="dxa"/>
            </w:tcMar>
          </w:tcPr>
          <w:p w14:paraId="4F6224AF" w14:textId="77777777" w:rsidR="00D90040" w:rsidRDefault="00B46279">
            <w:pPr>
              <w:widowControl w:val="0"/>
              <w:rPr>
                <w:rFonts w:ascii="Times New Roman" w:eastAsia="Times New Roman" w:hAnsi="Times New Roman" w:cs="Times New Roman"/>
                <w:sz w:val="24"/>
                <w:szCs w:val="24"/>
              </w:rPr>
            </w:pPr>
            <w:r>
              <w:rPr>
                <w:rFonts w:ascii="Times New Roman" w:eastAsia="Times New Roman" w:hAnsi="Times New Roman" w:cs="Times New Roman"/>
                <w:sz w:val="24"/>
                <w:szCs w:val="24"/>
              </w:rPr>
              <w:t>28.651-35.353</w:t>
            </w:r>
          </w:p>
        </w:tc>
      </w:tr>
    </w:tbl>
    <w:p w14:paraId="6D0A396A" w14:textId="77777777" w:rsidR="00D90040" w:rsidRDefault="00D90040">
      <w:pPr>
        <w:spacing w:line="240" w:lineRule="auto"/>
        <w:rPr>
          <w:rFonts w:ascii="Times New Roman" w:eastAsia="Times New Roman" w:hAnsi="Times New Roman" w:cs="Times New Roman"/>
          <w:b/>
          <w:sz w:val="24"/>
          <w:szCs w:val="24"/>
        </w:rPr>
      </w:pPr>
    </w:p>
    <w:p w14:paraId="3C49892D" w14:textId="77777777" w:rsidR="00D90040" w:rsidRDefault="00D90040">
      <w:pPr>
        <w:spacing w:line="240" w:lineRule="auto"/>
        <w:rPr>
          <w:rFonts w:ascii="Times New Roman" w:eastAsia="Times New Roman" w:hAnsi="Times New Roman" w:cs="Times New Roman"/>
          <w:b/>
          <w:sz w:val="24"/>
          <w:szCs w:val="24"/>
        </w:rPr>
      </w:pPr>
    </w:p>
    <w:p w14:paraId="6C2062E1" w14:textId="77777777" w:rsidR="00D90040" w:rsidRDefault="00D90040">
      <w:pPr>
        <w:spacing w:line="240" w:lineRule="auto"/>
        <w:rPr>
          <w:rFonts w:ascii="Times New Roman" w:eastAsia="Times New Roman" w:hAnsi="Times New Roman" w:cs="Times New Roman"/>
          <w:b/>
          <w:sz w:val="24"/>
          <w:szCs w:val="24"/>
        </w:rPr>
      </w:pPr>
    </w:p>
    <w:p w14:paraId="317E4248" w14:textId="77777777" w:rsidR="00D90040" w:rsidRDefault="00B46279">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Figure 4</w:t>
      </w:r>
    </w:p>
    <w:p w14:paraId="53C19767" w14:textId="77777777" w:rsidR="00D90040" w:rsidRDefault="00D90040">
      <w:pPr>
        <w:spacing w:line="240" w:lineRule="auto"/>
        <w:rPr>
          <w:rFonts w:ascii="Times New Roman" w:eastAsia="Times New Roman" w:hAnsi="Times New Roman" w:cs="Times New Roman"/>
          <w:sz w:val="24"/>
          <w:szCs w:val="24"/>
        </w:rPr>
      </w:pPr>
    </w:p>
    <w:p w14:paraId="44DA1CB0" w14:textId="77777777" w:rsidR="00D90040" w:rsidRDefault="00B46279">
      <w:pP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ASI Scores for Lifetime SUDs Class</w:t>
      </w:r>
    </w:p>
    <w:p w14:paraId="7E8B76B5" w14:textId="77777777" w:rsidR="00D90040" w:rsidRDefault="00B46279">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rPr>
        <w:drawing>
          <wp:inline distT="114300" distB="114300" distL="114300" distR="114300" wp14:anchorId="461E985B" wp14:editId="1EC7A3E4">
            <wp:extent cx="3890963" cy="2404967"/>
            <wp:effectExtent l="0" t="0" r="0" b="0"/>
            <wp:docPr id="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5"/>
                    <a:srcRect/>
                    <a:stretch>
                      <a:fillRect/>
                    </a:stretch>
                  </pic:blipFill>
                  <pic:spPr>
                    <a:xfrm>
                      <a:off x="0" y="0"/>
                      <a:ext cx="3890963" cy="2404967"/>
                    </a:xfrm>
                    <a:prstGeom prst="rect">
                      <a:avLst/>
                    </a:prstGeom>
                    <a:ln/>
                  </pic:spPr>
                </pic:pic>
              </a:graphicData>
            </a:graphic>
          </wp:inline>
        </w:drawing>
      </w:r>
    </w:p>
    <w:sectPr w:rsidR="00D90040">
      <w:headerReference w:type="default" r:id="rId16"/>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C5B8731" w14:textId="77777777" w:rsidR="00B46279" w:rsidRDefault="00B46279">
      <w:pPr>
        <w:spacing w:line="240" w:lineRule="auto"/>
      </w:pPr>
      <w:r>
        <w:separator/>
      </w:r>
    </w:p>
  </w:endnote>
  <w:endnote w:type="continuationSeparator" w:id="0">
    <w:p w14:paraId="7BCE44D9" w14:textId="77777777" w:rsidR="00B46279" w:rsidRDefault="00B4627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EF" w:usb1="C0007841" w:usb2="00000009" w:usb3="00000000" w:csb0="000001FF" w:csb1="00000000"/>
  </w:font>
  <w:font w:name="Calibri">
    <w:panose1 w:val="020F0502020204030204"/>
    <w:charset w:val="00"/>
    <w:family w:val="auto"/>
    <w:pitch w:val="variable"/>
    <w:sig w:usb0="E00002FF" w:usb1="4000ACFF" w:usb2="00000001" w:usb3="00000000" w:csb0="0000019F" w:csb1="00000000"/>
  </w:font>
  <w:font w:name="Cambria">
    <w:panose1 w:val="02040503050406030204"/>
    <w:charset w:val="00"/>
    <w:family w:val="auto"/>
    <w:pitch w:val="variable"/>
    <w:sig w:usb0="E00002FF" w:usb1="400004FF"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A4F4B2D" w14:textId="77777777" w:rsidR="00B46279" w:rsidRDefault="00B46279">
      <w:pPr>
        <w:spacing w:line="240" w:lineRule="auto"/>
      </w:pPr>
      <w:r>
        <w:separator/>
      </w:r>
    </w:p>
  </w:footnote>
  <w:footnote w:type="continuationSeparator" w:id="0">
    <w:p w14:paraId="68E62797" w14:textId="77777777" w:rsidR="00B46279" w:rsidRDefault="00B46279">
      <w:pPr>
        <w:spacing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D07FA0" w14:textId="77777777" w:rsidR="00D90040" w:rsidRDefault="00B46279">
    <w:pPr>
      <w:rPr>
        <w:rFonts w:ascii="Times New Roman" w:eastAsia="Times New Roman" w:hAnsi="Times New Roman" w:cs="Times New Roman"/>
        <w:sz w:val="24"/>
        <w:szCs w:val="24"/>
      </w:rPr>
    </w:pPr>
    <w:r>
      <w:rPr>
        <w:rFonts w:ascii="Times New Roman" w:eastAsia="Times New Roman" w:hAnsi="Times New Roman" w:cs="Times New Roman"/>
        <w:sz w:val="24"/>
        <w:szCs w:val="24"/>
      </w:rPr>
      <w:t>PTSD, SUDS, AND ANXIETY SENSITIVITY</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PAGE</w:instrText>
    </w:r>
    <w:r w:rsidR="00245CF7">
      <w:rPr>
        <w:rFonts w:ascii="Times New Roman" w:eastAsia="Times New Roman" w:hAnsi="Times New Roman" w:cs="Times New Roman"/>
        <w:sz w:val="24"/>
        <w:szCs w:val="24"/>
      </w:rPr>
      <w:fldChar w:fldCharType="separate"/>
    </w:r>
    <w:r w:rsidR="0087320A">
      <w:rPr>
        <w:rFonts w:ascii="Times New Roman" w:eastAsia="Times New Roman" w:hAnsi="Times New Roman" w:cs="Times New Roman"/>
        <w:noProof/>
        <w:sz w:val="24"/>
        <w:szCs w:val="24"/>
      </w:rPr>
      <w:t>3</w:t>
    </w:r>
    <w:r>
      <w:rPr>
        <w:rFonts w:ascii="Times New Roman" w:eastAsia="Times New Roman" w:hAnsi="Times New Roman" w:cs="Times New Roman"/>
        <w:sz w:val="24"/>
        <w:szCs w:val="24"/>
      </w:rPr>
      <w:fldChar w:fldCharType="end"/>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0040"/>
    <w:rsid w:val="00245CF7"/>
    <w:rsid w:val="0087320A"/>
    <w:rsid w:val="00B46279"/>
    <w:rsid w:val="00D90040"/>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decimalSymbol w:val="."/>
  <w:listSeparator w:val=","/>
  <w14:docId w14:val="212E72D4"/>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Ind w:w="0" w:type="dxa"/>
      <w:tblCellMar>
        <w:top w:w="100" w:type="dxa"/>
        <w:left w:w="100" w:type="dxa"/>
        <w:bottom w:w="100" w:type="dxa"/>
        <w:right w:w="100" w:type="dxa"/>
      </w:tblCellMar>
    </w:tblPr>
  </w:style>
  <w:style w:type="table" w:customStyle="1" w:styleId="a0">
    <w:basedOn w:val="TableNormal"/>
    <w:tblPr>
      <w:tblStyleRowBandSize w:val="1"/>
      <w:tblStyleColBandSize w:val="1"/>
      <w:tblInd w:w="0" w:type="dxa"/>
      <w:tblCellMar>
        <w:top w:w="100" w:type="dxa"/>
        <w:left w:w="100" w:type="dxa"/>
        <w:bottom w:w="100" w:type="dxa"/>
        <w:right w:w="100" w:type="dxa"/>
      </w:tblCellMar>
    </w:tblPr>
  </w:style>
  <w:style w:type="table" w:customStyle="1" w:styleId="a1">
    <w:basedOn w:val="TableNormal"/>
    <w:tblPr>
      <w:tblStyleRowBandSize w:val="1"/>
      <w:tblStyleColBandSize w:val="1"/>
      <w:tblInd w:w="0" w:type="dxa"/>
      <w:tblCellMar>
        <w:top w:w="100" w:type="dxa"/>
        <w:left w:w="100" w:type="dxa"/>
        <w:bottom w:w="100" w:type="dxa"/>
        <w:right w:w="100" w:type="dxa"/>
      </w:tblCellMar>
    </w:tblPr>
  </w:style>
  <w:style w:type="table" w:customStyle="1" w:styleId="a2">
    <w:basedOn w:val="TableNormal"/>
    <w:tblPr>
      <w:tblStyleRowBandSize w:val="1"/>
      <w:tblStyleColBandSize w:val="1"/>
      <w:tblInd w:w="0" w:type="dxa"/>
      <w:tblCellMar>
        <w:top w:w="100" w:type="dxa"/>
        <w:left w:w="100" w:type="dxa"/>
        <w:bottom w:w="100" w:type="dxa"/>
        <w:right w:w="100" w:type="dxa"/>
      </w:tblCellMar>
    </w:tblPr>
  </w:style>
  <w:style w:type="table" w:customStyle="1" w:styleId="a3">
    <w:basedOn w:val="TableNormal"/>
    <w:tblPr>
      <w:tblStyleRowBandSize w:val="1"/>
      <w:tblStyleColBandSize w:val="1"/>
      <w:tblInd w:w="0" w:type="dxa"/>
      <w:tblCellMar>
        <w:top w:w="100" w:type="dxa"/>
        <w:left w:w="100" w:type="dxa"/>
        <w:bottom w:w="100" w:type="dxa"/>
        <w:right w:w="100" w:type="dxa"/>
      </w:tblCellMar>
    </w:tblPr>
  </w:style>
  <w:style w:type="table" w:customStyle="1" w:styleId="a4">
    <w:basedOn w:val="TableNormal"/>
    <w:tblPr>
      <w:tblStyleRowBandSize w:val="1"/>
      <w:tblStyleColBandSize w:val="1"/>
      <w:tblInd w:w="0" w:type="dxa"/>
      <w:tblCellMar>
        <w:top w:w="100" w:type="dxa"/>
        <w:left w:w="100" w:type="dxa"/>
        <w:bottom w:w="100" w:type="dxa"/>
        <w:right w:w="100" w:type="dxa"/>
      </w:tblCellMar>
    </w:tblPr>
  </w:style>
  <w:style w:type="table" w:customStyle="1" w:styleId="a5">
    <w:basedOn w:val="TableNormal"/>
    <w:tblPr>
      <w:tblStyleRowBandSize w:val="1"/>
      <w:tblStyleColBandSize w:val="1"/>
      <w:tblInd w:w="0" w:type="dxa"/>
      <w:tblCellMar>
        <w:top w:w="100" w:type="dxa"/>
        <w:left w:w="100" w:type="dxa"/>
        <w:bottom w:w="100" w:type="dxa"/>
        <w:right w:w="100" w:type="dxa"/>
      </w:tblCellMar>
    </w:tblPr>
  </w:style>
  <w:style w:type="table" w:customStyle="1" w:styleId="a6">
    <w:basedOn w:val="TableNormal"/>
    <w:tblPr>
      <w:tblStyleRowBandSize w:val="1"/>
      <w:tblStyleColBandSize w:val="1"/>
      <w:tblInd w:w="0" w:type="dxa"/>
      <w:tblCellMar>
        <w:top w:w="100" w:type="dxa"/>
        <w:left w:w="100" w:type="dxa"/>
        <w:bottom w:w="100" w:type="dxa"/>
        <w:right w:w="100" w:type="dxa"/>
      </w:tblCellMar>
    </w:tblPr>
  </w:style>
  <w:style w:type="table" w:customStyle="1" w:styleId="a7">
    <w:basedOn w:val="TableNormal"/>
    <w:tblPr>
      <w:tblStyleRowBandSize w:val="1"/>
      <w:tblStyleColBandSize w:val="1"/>
      <w:tblInd w:w="0" w:type="dxa"/>
      <w:tblCellMar>
        <w:top w:w="100" w:type="dxa"/>
        <w:left w:w="100" w:type="dxa"/>
        <w:bottom w:w="100" w:type="dxa"/>
        <w:right w:w="100" w:type="dxa"/>
      </w:tblCellMar>
    </w:tblPr>
  </w:style>
  <w:style w:type="table" w:customStyle="1" w:styleId="a8">
    <w:basedOn w:val="TableNormal"/>
    <w:tblPr>
      <w:tblStyleRowBandSize w:val="1"/>
      <w:tblStyleColBandSize w:val="1"/>
      <w:tblInd w:w="0" w:type="dxa"/>
      <w:tblCellMar>
        <w:top w:w="100" w:type="dxa"/>
        <w:left w:w="100" w:type="dxa"/>
        <w:bottom w:w="100" w:type="dxa"/>
        <w:right w:w="100" w:type="dxa"/>
      </w:tblCellMar>
    </w:tblPr>
  </w:style>
  <w:style w:type="paragraph" w:styleId="CommentText">
    <w:name w:val="annotation text"/>
    <w:basedOn w:val="Normal"/>
    <w:link w:val="CommentTextChar"/>
    <w:uiPriority w:val="99"/>
    <w:semiHidden/>
    <w:unhideWhenUsed/>
    <w:pPr>
      <w:spacing w:line="240" w:lineRule="auto"/>
    </w:pPr>
    <w:rPr>
      <w:sz w:val="24"/>
      <w:szCs w:val="24"/>
    </w:rPr>
  </w:style>
  <w:style w:type="character" w:customStyle="1" w:styleId="CommentTextChar">
    <w:name w:val="Comment Text Char"/>
    <w:basedOn w:val="DefaultParagraphFont"/>
    <w:link w:val="CommentText"/>
    <w:uiPriority w:val="99"/>
    <w:semiHidden/>
    <w:rPr>
      <w:sz w:val="24"/>
      <w:szCs w:val="24"/>
    </w:rPr>
  </w:style>
  <w:style w:type="character" w:styleId="CommentReference">
    <w:name w:val="annotation reference"/>
    <w:basedOn w:val="DefaultParagraphFont"/>
    <w:uiPriority w:val="99"/>
    <w:semiHidden/>
    <w:unhideWhenUsed/>
    <w:rPr>
      <w:sz w:val="18"/>
      <w:szCs w:val="18"/>
    </w:rPr>
  </w:style>
  <w:style w:type="paragraph" w:styleId="BalloonText">
    <w:name w:val="Balloon Text"/>
    <w:basedOn w:val="Normal"/>
    <w:link w:val="BalloonTextChar"/>
    <w:uiPriority w:val="99"/>
    <w:semiHidden/>
    <w:unhideWhenUsed/>
    <w:rsid w:val="00245CF7"/>
    <w:pPr>
      <w:spacing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245CF7"/>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s://doi-org.proxy-um.researchport.umd.edu/10.1016/S0887-6185(02)00175-5" TargetMode="External"/><Relationship Id="rId12" Type="http://schemas.openxmlformats.org/officeDocument/2006/relationships/image" Target="media/image1.png"/><Relationship Id="rId13" Type="http://schemas.openxmlformats.org/officeDocument/2006/relationships/image" Target="media/image2.png"/><Relationship Id="rId14" Type="http://schemas.openxmlformats.org/officeDocument/2006/relationships/image" Target="media/image3.png"/><Relationship Id="rId15" Type="http://schemas.openxmlformats.org/officeDocument/2006/relationships/image" Target="media/image4.png"/><Relationship Id="rId16" Type="http://schemas.openxmlformats.org/officeDocument/2006/relationships/header" Target="header1.xml"/><Relationship Id="rId17" Type="http://schemas.openxmlformats.org/officeDocument/2006/relationships/fontTable" Target="fontTable.xml"/><Relationship Id="rId18"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 Id="rId3" Type="http://schemas.openxmlformats.org/officeDocument/2006/relationships/webSettings" Target="webSettings.xml"/><Relationship Id="rId4" Type="http://schemas.openxmlformats.org/officeDocument/2006/relationships/footnotes" Target="footnotes.xml"/><Relationship Id="rId5" Type="http://schemas.openxmlformats.org/officeDocument/2006/relationships/endnotes" Target="endnotes.xml"/><Relationship Id="rId6" Type="http://schemas.openxmlformats.org/officeDocument/2006/relationships/hyperlink" Target="https://doi.org/10.1007/s11920-012-0300-0" TargetMode="External"/><Relationship Id="rId7" Type="http://schemas.openxmlformats.org/officeDocument/2006/relationships/hyperlink" Target="https://doi-org.proxy-um.researchport.umd.edu/10.1037/adb0000193" TargetMode="External"/><Relationship Id="rId8" Type="http://schemas.openxmlformats.org/officeDocument/2006/relationships/hyperlink" Target="https://doi-org.proxy-um.researchport.umd.edu/10.1016/j.neuropharm.2017.07.032" TargetMode="External"/><Relationship Id="rId9" Type="http://schemas.openxmlformats.org/officeDocument/2006/relationships/hyperlink" Target="https://doi-org.proxy-um.researchport.umd.edu/10.1002/da.20281" TargetMode="External"/><Relationship Id="rId10" Type="http://schemas.openxmlformats.org/officeDocument/2006/relationships/hyperlink" Target="https://doi-org.proxy-um.researchport.umd.edu/10.1016/j.addbeh.2014.04.00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32</Pages>
  <Words>6432</Words>
  <Characters>36666</Characters>
  <Application>Microsoft Macintosh Word</Application>
  <DocSecurity>0</DocSecurity>
  <Lines>305</Lines>
  <Paragraphs>86</Paragraphs>
  <ScaleCrop>false</ScaleCrop>
  <LinksUpToDate>false</LinksUpToDate>
  <CharactersWithSpaces>43012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Tolu Adetayo</cp:lastModifiedBy>
  <cp:revision>2</cp:revision>
  <dcterms:created xsi:type="dcterms:W3CDTF">2020-12-04T21:05:00Z</dcterms:created>
  <dcterms:modified xsi:type="dcterms:W3CDTF">2020-12-04T21:05:00Z</dcterms:modified>
</cp:coreProperties>
</file>