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30151" w:rsidR="00D1010D" w:rsidP="632514B1" w:rsidRDefault="00F30151" w14:paraId="01D2B4C8" w14:textId="1682CC17">
      <w:pPr>
        <w:rPr>
          <w:rFonts w:ascii="Times New Roman" w:hAnsi="Times New Roman" w:eastAsia="Times New Roman" w:cs="Times New Roman"/>
          <w:b w:val="0"/>
          <w:bCs w:val="0"/>
        </w:rPr>
      </w:pPr>
      <w:r w:rsidRPr="632514B1" w:rsidR="632514B1">
        <w:rPr>
          <w:rFonts w:ascii="Times New Roman" w:hAnsi="Times New Roman" w:eastAsia="Times New Roman" w:cs="Times New Roman"/>
          <w:b w:val="1"/>
          <w:bCs w:val="1"/>
        </w:rPr>
        <w:t xml:space="preserve">Title of Webinar: </w:t>
      </w:r>
      <w:proofErr w:type="spellStart"/>
      <w:r w:rsidRPr="632514B1" w:rsidR="632514B1">
        <w:rPr>
          <w:rFonts w:ascii="Times New Roman" w:hAnsi="Times New Roman" w:eastAsia="Times New Roman" w:cs="Times New Roman"/>
          <w:b w:val="0"/>
          <w:bCs w:val="0"/>
        </w:rPr>
        <w:t>CommuniVax</w:t>
      </w:r>
      <w:proofErr w:type="spellEnd"/>
      <w:r w:rsidRPr="632514B1" w:rsidR="632514B1">
        <w:rPr>
          <w:rFonts w:ascii="Times New Roman" w:hAnsi="Times New Roman" w:eastAsia="Times New Roman" w:cs="Times New Roman"/>
          <w:b w:val="0"/>
          <w:bCs w:val="0"/>
        </w:rPr>
        <w:t xml:space="preserve"> Report Back Webinar</w:t>
      </w:r>
    </w:p>
    <w:p w:rsidRPr="00F30151" w:rsidR="00F30151" w:rsidP="632514B1" w:rsidRDefault="00F30151" w14:paraId="2ECF78D7" w14:textId="73A5C853">
      <w:pPr>
        <w:rPr>
          <w:rFonts w:ascii="Times New Roman" w:hAnsi="Times New Roman" w:eastAsia="Times New Roman" w:cs="Times New Roman"/>
          <w:b w:val="0"/>
          <w:bCs w:val="0"/>
        </w:rPr>
      </w:pPr>
      <w:r w:rsidRPr="632514B1" w:rsidR="632514B1">
        <w:rPr>
          <w:rFonts w:ascii="Times New Roman" w:hAnsi="Times New Roman" w:eastAsia="Times New Roman" w:cs="Times New Roman"/>
          <w:b w:val="1"/>
          <w:bCs w:val="1"/>
        </w:rPr>
        <w:t>Date and Time:</w:t>
      </w:r>
      <w:r w:rsidRPr="632514B1" w:rsidR="632514B1">
        <w:rPr>
          <w:rFonts w:ascii="Times New Roman" w:hAnsi="Times New Roman" w:eastAsia="Times New Roman" w:cs="Times New Roman"/>
          <w:b w:val="0"/>
          <w:bCs w:val="0"/>
        </w:rPr>
        <w:t xml:space="preserve"> Tuesday, September 28, 2021 at 6:30pm to 8:00pm </w:t>
      </w:r>
    </w:p>
    <w:p w:rsidR="00F30151" w:rsidP="632514B1" w:rsidRDefault="00F30151" w14:paraId="2EE065B2" w14:textId="71AA21EC">
      <w:pPr>
        <w:rPr>
          <w:rFonts w:ascii="Times New Roman" w:hAnsi="Times New Roman" w:eastAsia="Times New Roman" w:cs="Times New Roman"/>
        </w:rPr>
      </w:pPr>
    </w:p>
    <w:p w:rsidRPr="00F30151" w:rsidR="00F30151" w:rsidP="632514B1" w:rsidRDefault="00F30151" w14:paraId="3501F06B" w14:textId="19F4B7D4">
      <w:pPr>
        <w:rPr>
          <w:rFonts w:ascii="Times New Roman" w:hAnsi="Times New Roman" w:eastAsia="Times New Roman" w:cs="Times New Roman"/>
          <w:b w:val="1"/>
          <w:bCs w:val="1"/>
        </w:rPr>
      </w:pPr>
      <w:r w:rsidRPr="632514B1" w:rsidR="632514B1">
        <w:rPr>
          <w:rFonts w:ascii="Times New Roman" w:hAnsi="Times New Roman" w:eastAsia="Times New Roman" w:cs="Times New Roman"/>
          <w:b w:val="1"/>
          <w:bCs w:val="1"/>
        </w:rPr>
        <w:t xml:space="preserve">YouTube Link: </w:t>
      </w:r>
      <w:hyperlink r:id="R39a941619e6f4f7b">
        <w:r w:rsidRPr="632514B1" w:rsidR="632514B1">
          <w:rPr>
            <w:rStyle w:val="Hyperlink"/>
            <w:rFonts w:ascii="Times New Roman" w:hAnsi="Times New Roman" w:eastAsia="Times New Roman" w:cs="Times New Roman"/>
            <w:b w:val="0"/>
            <w:bCs w:val="0"/>
          </w:rPr>
          <w:t>https://www.youtube.com/watch?v=zHKKHZcwNFE</w:t>
        </w:r>
      </w:hyperlink>
      <w:r w:rsidRPr="632514B1" w:rsidR="632514B1">
        <w:rPr>
          <w:rFonts w:ascii="Times New Roman" w:hAnsi="Times New Roman" w:eastAsia="Times New Roman" w:cs="Times New Roman"/>
          <w:b w:val="0"/>
          <w:bCs w:val="0"/>
        </w:rPr>
        <w:t xml:space="preserve"> </w:t>
      </w:r>
    </w:p>
    <w:p w:rsidR="00F30151" w:rsidP="632514B1" w:rsidRDefault="00F30151" w14:paraId="71645557" w14:textId="312AE4BD">
      <w:pPr>
        <w:rPr>
          <w:rFonts w:ascii="Times New Roman" w:hAnsi="Times New Roman" w:eastAsia="Times New Roman" w:cs="Times New Roman"/>
        </w:rPr>
      </w:pPr>
    </w:p>
    <w:p w:rsidRPr="00F30151" w:rsidR="00F30151" w:rsidP="632514B1" w:rsidRDefault="00F30151" w14:paraId="5596037F" w14:textId="59B80435">
      <w:pPr>
        <w:rPr>
          <w:rFonts w:ascii="Times New Roman" w:hAnsi="Times New Roman" w:eastAsia="Times New Roman" w:cs="Times New Roman"/>
          <w:b w:val="1"/>
          <w:bCs w:val="1"/>
        </w:rPr>
      </w:pPr>
      <w:r w:rsidRPr="632514B1" w:rsidR="632514B1">
        <w:rPr>
          <w:rFonts w:ascii="Times New Roman" w:hAnsi="Times New Roman" w:eastAsia="Times New Roman" w:cs="Times New Roman"/>
          <w:b w:val="1"/>
          <w:bCs w:val="1"/>
        </w:rPr>
        <w:t>Speakers in attendance:</w:t>
      </w:r>
    </w:p>
    <w:p w:rsidR="632514B1" w:rsidP="632514B1" w:rsidRDefault="632514B1" w14:paraId="5FB9DDA2" w14:textId="515C05B4">
      <w:pPr>
        <w:pStyle w:val="Normal"/>
        <w:rPr>
          <w:rFonts w:ascii="Times New Roman" w:hAnsi="Times New Roman" w:eastAsia="Times New Roman" w:cs="Times New Roman"/>
          <w:b w:val="1"/>
          <w:bCs w:val="1"/>
        </w:rPr>
      </w:pPr>
    </w:p>
    <w:p w:rsidR="632514B1" w:rsidP="632514B1" w:rsidRDefault="632514B1" w14:paraId="717436F5" w14:textId="4A546C1C">
      <w:pPr>
        <w:pStyle w:val="ListParagraph"/>
        <w:numPr>
          <w:ilvl w:val="0"/>
          <w:numId w:val="2"/>
        </w:numPr>
        <w:rPr>
          <w:rFonts w:ascii="Times New Roman" w:hAnsi="Times New Roman" w:eastAsia="Times New Roman" w:cs="Times New Roman"/>
          <w:b w:val="0"/>
          <w:bCs w:val="0"/>
          <w:sz w:val="24"/>
          <w:szCs w:val="24"/>
        </w:rPr>
      </w:pPr>
      <w:r w:rsidRPr="632514B1" w:rsidR="632514B1">
        <w:rPr>
          <w:rFonts w:ascii="Times New Roman" w:hAnsi="Times New Roman" w:eastAsia="Times New Roman" w:cs="Times New Roman"/>
          <w:b w:val="0"/>
          <w:bCs w:val="0"/>
        </w:rPr>
        <w:t>Stephen B. Thomas, PhD – Director of the Maryland Center for Health Equity</w:t>
      </w:r>
    </w:p>
    <w:p w:rsidR="632514B1" w:rsidP="632514B1" w:rsidRDefault="632514B1" w14:paraId="13FFC9D7" w14:textId="6B1AEEF2">
      <w:pPr>
        <w:pStyle w:val="ListParagraph"/>
        <w:numPr>
          <w:ilvl w:val="0"/>
          <w:numId w:val="2"/>
        </w:numPr>
        <w:rPr>
          <w:rFonts w:ascii="Times New Roman" w:hAnsi="Times New Roman" w:eastAsia="Times New Roman" w:cs="Times New Roman"/>
          <w:b w:val="0"/>
          <w:bCs w:val="0"/>
          <w:sz w:val="24"/>
          <w:szCs w:val="24"/>
        </w:rPr>
      </w:pPr>
      <w:r w:rsidRPr="632514B1" w:rsidR="632514B1">
        <w:rPr>
          <w:rFonts w:ascii="Times New Roman" w:hAnsi="Times New Roman" w:eastAsia="Times New Roman" w:cs="Times New Roman"/>
          <w:b w:val="0"/>
          <w:bCs w:val="0"/>
        </w:rPr>
        <w:t>Gloria Aparicio Blackwell – Director of the UMD Office of Community Engagement</w:t>
      </w:r>
    </w:p>
    <w:p w:rsidR="632514B1" w:rsidP="632514B1" w:rsidRDefault="632514B1" w14:paraId="0245FCD2" w14:textId="4CE08AC0">
      <w:pPr>
        <w:pStyle w:val="ListParagraph"/>
        <w:numPr>
          <w:ilvl w:val="0"/>
          <w:numId w:val="2"/>
        </w:numPr>
        <w:rPr>
          <w:rFonts w:ascii="Times New Roman" w:hAnsi="Times New Roman" w:eastAsia="Times New Roman" w:cs="Times New Roman"/>
          <w:b w:val="0"/>
          <w:bCs w:val="0"/>
          <w:sz w:val="24"/>
          <w:szCs w:val="24"/>
        </w:rPr>
      </w:pPr>
      <w:r w:rsidRPr="632514B1" w:rsidR="632514B1">
        <w:rPr>
          <w:rFonts w:ascii="Times New Roman" w:hAnsi="Times New Roman" w:eastAsia="Times New Roman" w:cs="Times New Roman"/>
          <w:b w:val="0"/>
          <w:bCs w:val="0"/>
        </w:rPr>
        <w:t>Sandra Quinn, PhD – Professor and Chair, Dept. of Family Science, Senior Associate Director, Maryland Center for Health Equity</w:t>
      </w:r>
    </w:p>
    <w:p w:rsidR="632514B1" w:rsidP="632514B1" w:rsidRDefault="632514B1" w14:paraId="45137EEE" w14:textId="744540C9">
      <w:pPr>
        <w:pStyle w:val="ListParagraph"/>
        <w:numPr>
          <w:ilvl w:val="0"/>
          <w:numId w:val="2"/>
        </w:numPr>
        <w:rPr>
          <w:rFonts w:ascii="Calibri" w:hAnsi="Calibri" w:eastAsia="Calibri" w:cs="Calibri" w:asciiTheme="minorAscii" w:hAnsiTheme="minorAscii" w:eastAsiaTheme="minorAscii" w:cstheme="minorAscii"/>
          <w:b w:val="0"/>
          <w:bCs w:val="0"/>
          <w:sz w:val="24"/>
          <w:szCs w:val="24"/>
        </w:rPr>
      </w:pPr>
      <w:r w:rsidRPr="632514B1" w:rsidR="632514B1">
        <w:rPr>
          <w:rFonts w:ascii="Times New Roman" w:hAnsi="Times New Roman" w:eastAsia="Times New Roman" w:cs="Times New Roman"/>
          <w:b w:val="0"/>
          <w:bCs w:val="0"/>
        </w:rPr>
        <w:t xml:space="preserve">Deneen Richmond, President of </w:t>
      </w:r>
      <w:proofErr w:type="spellStart"/>
      <w:r w:rsidRPr="632514B1" w:rsidR="632514B1">
        <w:rPr>
          <w:rFonts w:ascii="Times New Roman" w:hAnsi="Times New Roman" w:eastAsia="Times New Roman" w:cs="Times New Roman"/>
          <w:b w:val="0"/>
          <w:bCs w:val="0"/>
        </w:rPr>
        <w:t>Luminis</w:t>
      </w:r>
      <w:proofErr w:type="spellEnd"/>
      <w:r w:rsidRPr="632514B1" w:rsidR="632514B1">
        <w:rPr>
          <w:rFonts w:ascii="Times New Roman" w:hAnsi="Times New Roman" w:eastAsia="Times New Roman" w:cs="Times New Roman"/>
          <w:b w:val="0"/>
          <w:bCs w:val="0"/>
        </w:rPr>
        <w:t xml:space="preserve"> Health Doctors Community Medical Center</w:t>
      </w:r>
    </w:p>
    <w:p w:rsidR="632514B1" w:rsidP="632514B1" w:rsidRDefault="632514B1" w14:paraId="2A4FF286" w14:textId="6E1E3D6F">
      <w:pPr>
        <w:pStyle w:val="ListParagraph"/>
        <w:numPr>
          <w:ilvl w:val="0"/>
          <w:numId w:val="2"/>
        </w:numPr>
        <w:rPr>
          <w:rFonts w:ascii="Times New Roman" w:hAnsi="Times New Roman" w:eastAsia="Times New Roman" w:cs="Times New Roman"/>
          <w:b w:val="0"/>
          <w:bCs w:val="0"/>
          <w:sz w:val="24"/>
          <w:szCs w:val="24"/>
        </w:rPr>
      </w:pPr>
      <w:r w:rsidRPr="632514B1" w:rsidR="632514B1">
        <w:rPr>
          <w:rFonts w:ascii="Times New Roman" w:hAnsi="Times New Roman" w:eastAsia="Times New Roman" w:cs="Times New Roman"/>
          <w:b w:val="0"/>
          <w:bCs w:val="0"/>
        </w:rPr>
        <w:t>Joseph Wright, MD, MPH – Senior Vice President and Chief Medical Officer of Capital Region Health, University of Maryland Medical System</w:t>
      </w:r>
    </w:p>
    <w:p w:rsidR="632514B1" w:rsidP="632514B1" w:rsidRDefault="632514B1" w14:paraId="37E70636" w14:textId="01D6422D">
      <w:pPr>
        <w:pStyle w:val="ListParagraph"/>
        <w:numPr>
          <w:ilvl w:val="0"/>
          <w:numId w:val="2"/>
        </w:numPr>
        <w:rPr>
          <w:rFonts w:ascii="Times New Roman" w:hAnsi="Times New Roman" w:eastAsia="Times New Roman" w:cs="Times New Roman"/>
          <w:b w:val="0"/>
          <w:bCs w:val="0"/>
          <w:sz w:val="24"/>
          <w:szCs w:val="24"/>
        </w:rPr>
      </w:pPr>
      <w:r w:rsidRPr="632514B1" w:rsidR="632514B1">
        <w:rPr>
          <w:rFonts w:ascii="Times New Roman" w:hAnsi="Times New Roman" w:eastAsia="Times New Roman" w:cs="Times New Roman"/>
          <w:b w:val="0"/>
          <w:bCs w:val="0"/>
        </w:rPr>
        <w:t>George Askew, MD, FAAP – Deputy Chief Administrative Officer for Health, Human Services, and Education in Prince George’s County, Maryland</w:t>
      </w:r>
    </w:p>
    <w:p w:rsidR="00F30151" w:rsidP="632514B1" w:rsidRDefault="00F30151" w14:paraId="03864551" w14:textId="511DE2A8">
      <w:pPr>
        <w:rPr>
          <w:rFonts w:ascii="Times New Roman" w:hAnsi="Times New Roman" w:eastAsia="Times New Roman" w:cs="Times New Roman"/>
          <w:b w:val="0"/>
          <w:bCs w:val="0"/>
        </w:rPr>
      </w:pPr>
    </w:p>
    <w:p w:rsidR="00F30151" w:rsidP="632514B1" w:rsidRDefault="00F30151" w14:paraId="028D23A6" w14:textId="7B9D37E5">
      <w:pPr>
        <w:rPr>
          <w:rFonts w:ascii="Times New Roman" w:hAnsi="Times New Roman" w:eastAsia="Times New Roman" w:cs="Times New Roman"/>
          <w:b w:val="0"/>
          <w:bCs w:val="0"/>
        </w:rPr>
      </w:pPr>
    </w:p>
    <w:p w:rsidRPr="00F30151" w:rsidR="00F30151" w:rsidP="632514B1" w:rsidRDefault="00F30151" w14:paraId="59764CEB" w14:textId="654DAC07">
      <w:pPr>
        <w:rPr>
          <w:rFonts w:ascii="Times New Roman" w:hAnsi="Times New Roman" w:eastAsia="Times New Roman" w:cs="Times New Roman"/>
          <w:b w:val="1"/>
          <w:bCs w:val="1"/>
        </w:rPr>
      </w:pPr>
      <w:r w:rsidRPr="632514B1" w:rsidR="632514B1">
        <w:rPr>
          <w:rFonts w:ascii="Times New Roman" w:hAnsi="Times New Roman" w:eastAsia="Times New Roman" w:cs="Times New Roman"/>
          <w:b w:val="1"/>
          <w:bCs w:val="1"/>
        </w:rPr>
        <w:t>Questions asked in the webinar:</w:t>
      </w:r>
    </w:p>
    <w:p w:rsidR="00F30151" w:rsidP="632514B1" w:rsidRDefault="00F30151" w14:paraId="6FCD636E" w14:textId="356C5977">
      <w:pPr>
        <w:rPr>
          <w:rFonts w:ascii="Times New Roman" w:hAnsi="Times New Roman" w:eastAsia="Times New Roman" w:cs="Times New Roman"/>
        </w:rPr>
      </w:pPr>
    </w:p>
    <w:p w:rsidRPr="00F30151" w:rsidR="00F30151" w:rsidP="632514B1" w:rsidRDefault="00F30151" w14:paraId="18B0F04B" w14:textId="5EC4489B">
      <w:pPr>
        <w:pStyle w:val="ListParagraph"/>
        <w:numPr>
          <w:ilvl w:val="0"/>
          <w:numId w:val="1"/>
        </w:numPr>
        <w:rPr>
          <w:rFonts w:ascii="Times New Roman" w:hAnsi="Times New Roman" w:eastAsia="Times New Roman" w:cs="Times New Roman"/>
          <w:u w:val="single"/>
        </w:rPr>
      </w:pPr>
      <w:r w:rsidRPr="632514B1" w:rsidR="632514B1">
        <w:rPr>
          <w:rFonts w:ascii="Times New Roman" w:hAnsi="Times New Roman" w:eastAsia="Times New Roman" w:cs="Times New Roman"/>
          <w:u w:val="single"/>
        </w:rPr>
        <w:t>Answered Questions</w:t>
      </w:r>
    </w:p>
    <w:p w:rsidR="00F30151" w:rsidP="632514B1" w:rsidRDefault="00F30151" w14:paraId="4627E29D" w14:textId="7194A878">
      <w:pPr>
        <w:pStyle w:val="ListParagraph"/>
        <w:numPr>
          <w:ilvl w:val="1"/>
          <w:numId w:val="1"/>
        </w:numPr>
        <w:rPr>
          <w:rFonts w:ascii="Times New Roman" w:hAnsi="Times New Roman" w:eastAsia="Times New Roman" w:cs="Times New Roman"/>
        </w:rPr>
      </w:pPr>
      <w:r w:rsidRPr="569029DE" w:rsidR="569029DE">
        <w:rPr>
          <w:rFonts w:ascii="Times New Roman" w:hAnsi="Times New Roman" w:eastAsia="Times New Roman" w:cs="Times New Roman"/>
        </w:rPr>
        <w:t>Question 1: (49:28 – 49:43) I have been so please to work with you and Doctors Community Hospital and now part of the Luminis Health System in the see you out in the community. The floor is yours for your initial reflections.</w:t>
      </w:r>
    </w:p>
    <w:p w:rsidR="00F30151" w:rsidP="2F223B88" w:rsidRDefault="00F30151" w14:paraId="7CD68D83" w14:textId="7E6AEDB4">
      <w:pPr>
        <w:pStyle w:val="ListParagraph"/>
        <w:numPr>
          <w:ilvl w:val="2"/>
          <w:numId w:val="1"/>
        </w:numPr>
        <w:rPr>
          <w:rFonts w:ascii="Calibri" w:hAnsi="Calibri" w:eastAsia="Calibri" w:cs="Calibri" w:asciiTheme="minorAscii" w:hAnsiTheme="minorAscii" w:eastAsiaTheme="minorAscii" w:cstheme="minorAscii"/>
          <w:sz w:val="24"/>
          <w:szCs w:val="24"/>
        </w:rPr>
      </w:pPr>
      <w:r w:rsidRPr="2F223B88" w:rsidR="2F223B88">
        <w:rPr>
          <w:rFonts w:ascii="Times New Roman" w:hAnsi="Times New Roman" w:eastAsia="Times New Roman" w:cs="Times New Roman"/>
        </w:rPr>
        <w:t xml:space="preserve">Answer: (49:43 – 59:52) Deneen Richmond: Thank you, Dr. Thomas and Dr. Blackwell and Dr. Quinn. So first quick disclaimer I've been referenced as Dr. a couple of times so I will have to put out there. I'm not a physician but I am a true healthcare advocate and that's the way I like to think about myself so you know every point that you. Just made up and everything that you captured in the report is totally right on the mark. And you know when we think about you know this whole focus on the communities. I think if we think about it, why do we even have health care services right? It's to serve the communities that we're privileged to serve at </w:t>
      </w:r>
      <w:proofErr w:type="spellStart"/>
      <w:r w:rsidRPr="2F223B88" w:rsidR="2F223B88">
        <w:rPr>
          <w:rFonts w:ascii="Times New Roman" w:hAnsi="Times New Roman" w:eastAsia="Times New Roman" w:cs="Times New Roman"/>
        </w:rPr>
        <w:t>Luminis</w:t>
      </w:r>
      <w:proofErr w:type="spellEnd"/>
      <w:r w:rsidRPr="2F223B88" w:rsidR="2F223B88">
        <w:rPr>
          <w:rFonts w:ascii="Times New Roman" w:hAnsi="Times New Roman" w:eastAsia="Times New Roman" w:cs="Times New Roman"/>
        </w:rPr>
        <w:t xml:space="preserve">.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it's right front and center and our mission statement. Our mission is to enhance the health of the people and communities we serve. And I think what we have to recognize sometime is that we got to get out of our way around providing care and services and truly focusing on are we making a difference. Are we enhancing the health? And we can't do that just behind our four walls. We have to be out in the community so we have been, you know, we wish there wasn't a pandemic, but you know, we since we didn't bring on the pandemic, we say we're </w:t>
      </w:r>
      <w:proofErr w:type="spellStart"/>
      <w:r w:rsidRPr="2F223B88" w:rsidR="2F223B88">
        <w:rPr>
          <w:rFonts w:ascii="Times New Roman" w:hAnsi="Times New Roman" w:eastAsia="Times New Roman" w:cs="Times New Roman"/>
        </w:rPr>
        <w:t>gonna</w:t>
      </w:r>
      <w:proofErr w:type="spellEnd"/>
      <w:r w:rsidRPr="2F223B88" w:rsidR="2F223B88">
        <w:rPr>
          <w:rFonts w:ascii="Times New Roman" w:hAnsi="Times New Roman" w:eastAsia="Times New Roman" w:cs="Times New Roman"/>
        </w:rPr>
        <w:t xml:space="preserve"> do everything that we absolutely can and be responsible to lead the way and ending the pandemic. So that's where a lot of our focus has been. And you know, it's it started so long ago, you as I was listening to you, you kind of took me down the memory lane there and you know it was March of 2020 when you know, think about it, you know we had this new novel virus. None of us really didn't know what it was, how it got transmitted. You know we didn't have any vaccines. We had schools closing, people going home, and being isolated and not having information or knowing where to turn for information. And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I think that was the first thing we recognize is that there were voids in the usual ways you talked a lot about communication and there were two voids in the usual ways that we communicate. To get information out to people and you know not everybody has internet access. Not everybody was listening to the evening news or going to our website or to the health department's website.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we had to be very creative and look at other ways to really communicate with people and get the word out there.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one of the things that we did is I like to say is everybody else was running home. We ran out into the community with our community health team and seniors and our vulnerable populations and </w:t>
      </w:r>
      <w:proofErr w:type="gramStart"/>
      <w:r w:rsidRPr="2F223B88" w:rsidR="2F223B88">
        <w:rPr>
          <w:rFonts w:ascii="Times New Roman" w:hAnsi="Times New Roman" w:eastAsia="Times New Roman" w:cs="Times New Roman"/>
        </w:rPr>
        <w:t>low income</w:t>
      </w:r>
      <w:proofErr w:type="gramEnd"/>
      <w:r w:rsidRPr="2F223B88" w:rsidR="2F223B88">
        <w:rPr>
          <w:rFonts w:ascii="Times New Roman" w:hAnsi="Times New Roman" w:eastAsia="Times New Roman" w:cs="Times New Roman"/>
        </w:rPr>
        <w:t xml:space="preserve"> populations. And then we just started providing education and information about COVID and about, even then, what we knew people could do to stay safe and when they needed to get tested and even basic things, I think you know it seems like it wasn't that long ago when I can remember that, you know, I never thought I would ever have to stand in line outside of the grocery store to be able to go in and purchase groceries and then. Going into that grocery store and not having the shelves bare of things that we just took for granted, hand sanitizer, soap, laundry pods, all different types of things. We couldn't find masks and that's in the community and then we faced our own challenges with personal protective equipment or PPE as everyone refers to it now. I was trying to make sure that we were keeping out staff safe and so that was an experience that I don't think any of us thought we would ever go through in our lifetimes. I know I didn't, so just being able to address that. We were very fortunate in Prince George's County to reach over 30,000 people with just education and what we call our COVID care kits.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you know, and it's what we needed to do. It's what we should be doing that just around COVID. But how we need now. We know we can provide education on a number of things and then we had the vaccines and I like to say at the beginning I call it The Hunger Games with anybody familiar with that. That's what it was. It was like, you know, you had people literally, you know, clamoring to get the vaccine. And you know, once again, lines and chaos and all kinds of things. But I think the one area you hit on this a little bit. Well, I think that if we if we take a look back and say, well, what could we do different? Yeah, right at that same time when there was not enough vaccine and we had The Hunger Games on, the media was extremely focused on talking about hesitancy. And I think what we found during that time though, was that you know the media has a lot of influence and power and so it's. Every time you turned on the news all you heard was hesitancy </w:t>
      </w:r>
      <w:proofErr w:type="spellStart"/>
      <w:r w:rsidRPr="2F223B88" w:rsidR="2F223B88">
        <w:rPr>
          <w:rFonts w:ascii="Times New Roman" w:hAnsi="Times New Roman" w:eastAsia="Times New Roman" w:cs="Times New Roman"/>
        </w:rPr>
        <w:t>hestiancy</w:t>
      </w:r>
      <w:proofErr w:type="spellEnd"/>
      <w:r w:rsidRPr="2F223B88" w:rsidR="2F223B88">
        <w:rPr>
          <w:rFonts w:ascii="Times New Roman" w:hAnsi="Times New Roman" w:eastAsia="Times New Roman" w:cs="Times New Roman"/>
        </w:rPr>
        <w:t xml:space="preserve"> hesitancy. I think we actually made people more hesitant because people were like, well, it is a reason why I shouldn't be clamoring, you know, to get this vaccine? Is it safe? Why are we talking about it?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I think the next thing we really had to do, and we were very fortunate do was to get out there and change the narrative, and I think that it was so important to make sure that all of the chatter and in the in the noise wasn't all about hesitancy. But really saying, how do we make this vaccine accessible? How do we educate people about you know how it was formed? Why it wasn't rushed. Why it's safe to take in all of the clinical trials and everything else that led up to it being widely available to the public and then making it accessible.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we went and partnered with a number of different community partners, Reid Temple and Glendale, Maryland, Prince George's Community College. First United Baptist, excuse me First United Methodist Church of Hyattsville and those were very successful sites and we were able to give out over 1500 to 2000 vaccines and day. I mean we got it down to a science but then we realized that it's in as you mentioned even those sites weren't perfect. Some of them were like First United is, you know, smack in highest field, which was one of the most impacted areas within Prince George's County and accessible to public transportation. But we also learned that you know people couldn't figure out how to make appointments, so we said, okay, we need to make another appointment necessary. No, doctors order necessary. Walk up and </w:t>
      </w:r>
      <w:proofErr w:type="gramStart"/>
      <w:r w:rsidRPr="2F223B88" w:rsidR="2F223B88">
        <w:rPr>
          <w:rFonts w:ascii="Times New Roman" w:hAnsi="Times New Roman" w:eastAsia="Times New Roman" w:cs="Times New Roman"/>
        </w:rPr>
        <w:t>drive up</w:t>
      </w:r>
      <w:proofErr w:type="gramEnd"/>
      <w:r w:rsidRPr="2F223B88" w:rsidR="2F223B88">
        <w:rPr>
          <w:rFonts w:ascii="Times New Roman" w:hAnsi="Times New Roman" w:eastAsia="Times New Roman" w:cs="Times New Roman"/>
        </w:rPr>
        <w:t xml:space="preserve"> testing because everybody didn't have a car and everything up until that point was drive up testing and we had a lot of people saying this will never work. Thankfully, we didn't listen to them and we made it work and we couldn't have made it work. Make it have made it work without some key partners and that's what I'm so grateful for. We had the church that opened our doors. Still open, it’s still open. We still offering vaccines there. Definitely have to give a huge shout out here to my friend, Dr. Askew and the county. They have been right there with the labs and the testing and just supporting us. Through being able to continue to have that site open for not just vaccines but testing as well, and the last thing I just wanted comment I </w:t>
      </w:r>
      <w:proofErr w:type="spellStart"/>
      <w:r w:rsidRPr="2F223B88" w:rsidR="2F223B88">
        <w:rPr>
          <w:rFonts w:ascii="Times New Roman" w:hAnsi="Times New Roman" w:eastAsia="Times New Roman" w:cs="Times New Roman"/>
        </w:rPr>
        <w:t>wanna</w:t>
      </w:r>
      <w:proofErr w:type="spellEnd"/>
      <w:r w:rsidRPr="2F223B88" w:rsidR="2F223B88">
        <w:rPr>
          <w:rFonts w:ascii="Times New Roman" w:hAnsi="Times New Roman" w:eastAsia="Times New Roman" w:cs="Times New Roman"/>
        </w:rPr>
        <w:t xml:space="preserve"> make really quickly because I know my colleagues have a lot to share too. It's just all of the other. I want to call them the side effects of what we've learned during this pandemic. I want to quickly mention, two, one is the mental health and that got you highlighted that as well. It was always an issue, but the stress and as you talked about the anxiety and everything that people have had to deal with during the pandemic, just bought it front and center and we know that that's another great need. Here in the county and we are very fortunate that at </w:t>
      </w:r>
      <w:proofErr w:type="spellStart"/>
      <w:r w:rsidRPr="2F223B88" w:rsidR="2F223B88">
        <w:rPr>
          <w:rFonts w:ascii="Times New Roman" w:hAnsi="Times New Roman" w:eastAsia="Times New Roman" w:cs="Times New Roman"/>
        </w:rPr>
        <w:t>Luminis</w:t>
      </w:r>
      <w:proofErr w:type="spellEnd"/>
      <w:r w:rsidRPr="2F223B88" w:rsidR="2F223B88">
        <w:rPr>
          <w:rFonts w:ascii="Times New Roman" w:hAnsi="Times New Roman" w:eastAsia="Times New Roman" w:cs="Times New Roman"/>
        </w:rPr>
        <w:t xml:space="preserve"> Health Doctors Community Medical Center. We are building a full pavilion just for behavioral health services and ambulatory and last week we got approval from the Maryland Health Care Commission for our Certificate of Need for a 16-bed adult in-patient. And once again, that took a huge partnership, including our county. Once again, huge props and thanks to our county or County Executive, the health Department, the Mental Health Division and many, many others that even made that. Some of that possible through a very generous $20 million grant to for the capital that's largely covering a lot of the capital expenses, and so we </w:t>
      </w:r>
      <w:proofErr w:type="spellStart"/>
      <w:r w:rsidRPr="2F223B88" w:rsidR="2F223B88">
        <w:rPr>
          <w:rFonts w:ascii="Times New Roman" w:hAnsi="Times New Roman" w:eastAsia="Times New Roman" w:cs="Times New Roman"/>
        </w:rPr>
        <w:t>gotta</w:t>
      </w:r>
      <w:proofErr w:type="spellEnd"/>
      <w:r w:rsidRPr="2F223B88" w:rsidR="2F223B88">
        <w:rPr>
          <w:rFonts w:ascii="Times New Roman" w:hAnsi="Times New Roman" w:eastAsia="Times New Roman" w:cs="Times New Roman"/>
        </w:rPr>
        <w:t xml:space="preserve"> make sure that we really integrate as we think about moving forward, not just regular health care. You know, medical care, but behavioral health care. And the last thing I promise, it's the last thing for now. I want to quickly mention is the other side effect that came right in front to the center that you also mentioned was racism, and once again it wasn't new. But all of the things that happen, both with the pandemic and the disparities that we were seeing and then with the murder of George Floyd that once again front and center too. And I'm very proud in my organization we took this opportunity, we've always been working on health equity, but we took this opportunity to form what we call a HEART force and it does speak to my heart. HEART stands for the Health, Equity and Anti Racism Task Force and now our board in June has approved a word set of recommendations that we are putting all of the action steps around that we're focused on. You know I'll staff out diversity and inclusion of our staff. It will focus on the community. It will focus on patients. Everything around. We actually are calling it now our JEDI Movement for Justice, equity, diversity and inclusion. </w:t>
      </w:r>
      <w:proofErr w:type="gramStart"/>
      <w:r w:rsidRPr="2F223B88" w:rsidR="2F223B88">
        <w:rPr>
          <w:rFonts w:ascii="Times New Roman" w:hAnsi="Times New Roman" w:eastAsia="Times New Roman" w:cs="Times New Roman"/>
        </w:rPr>
        <w:t>So</w:t>
      </w:r>
      <w:proofErr w:type="gramEnd"/>
      <w:r w:rsidRPr="2F223B88" w:rsidR="2F223B88">
        <w:rPr>
          <w:rFonts w:ascii="Times New Roman" w:hAnsi="Times New Roman" w:eastAsia="Times New Roman" w:cs="Times New Roman"/>
        </w:rPr>
        <w:t xml:space="preserve"> we are going to be Jedis and there's so much work that we can do and have to continue to do together with everyone in this community.</w:t>
      </w:r>
    </w:p>
    <w:p w:rsidR="00F30151" w:rsidP="569029DE" w:rsidRDefault="00F30151" w14:paraId="2B224571" w14:textId="251EAC8A">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569029DE" w:rsidR="569029DE">
        <w:rPr>
          <w:rFonts w:ascii="Times New Roman" w:hAnsi="Times New Roman" w:eastAsia="Times New Roman" w:cs="Times New Roman"/>
        </w:rPr>
        <w:t>Answer: (1:00:58 – 1:01:27) Deneen Richmond: Dr. Thomas, one more quick thing. I obviously cannot forget about you. Dr. Thomas has, with his partnership, we have been in barber shops and beauty salons and it has been just awesome to reach people where they are and to leverage, you know the barbers, those trusted voices, and the stylists, and the clients that they have the relationships with. And so that has just been an awesome experience, so thank you. I'm so grateful for your partnership.</w:t>
      </w:r>
    </w:p>
    <w:p w:rsidR="569029DE" w:rsidP="569029DE" w:rsidRDefault="569029DE" w14:paraId="651CAE6A" w14:textId="039C5115">
      <w:pPr>
        <w:pStyle w:val="ListParagraph"/>
        <w:numPr>
          <w:ilvl w:val="1"/>
          <w:numId w:val="1"/>
        </w:numPr>
        <w:rPr>
          <w:sz w:val="24"/>
          <w:szCs w:val="24"/>
        </w:rPr>
      </w:pPr>
      <w:r w:rsidRPr="569029DE" w:rsidR="569029DE">
        <w:rPr>
          <w:rFonts w:ascii="Times New Roman" w:hAnsi="Times New Roman" w:eastAsia="Times New Roman" w:cs="Times New Roman"/>
        </w:rPr>
        <w:t>Question 2: (1:01:43 – 1:01:59) George, you’re on my friend. Your reaction to the report, the recommendations, your colleague Deneen has just shared some amazing results of your partnership together at all benefits the health of people in Prince George's County.</w:t>
      </w:r>
    </w:p>
    <w:p w:rsidR="569029DE" w:rsidP="569029DE" w:rsidRDefault="569029DE" w14:paraId="26ED70BA" w14:textId="35254182">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569029DE" w:rsidR="569029DE">
        <w:rPr>
          <w:rFonts w:ascii="Times New Roman" w:hAnsi="Times New Roman" w:eastAsia="Times New Roman" w:cs="Times New Roman"/>
        </w:rPr>
        <w:t>Answer: (1:02:00 – 1:10:41) Dr. Askew: It has been quite a ride and I'm gonna start off with a number and then maybe work through just a couple of things because I know you've got some tremendous people still yet to go and share their thinking. 1,000,000. This week, as of this week, we have delivered over 1,000,000 vaccinations in Prince George’s. When we first started this the vaccination rollout and we looked at the numbers we had to reach in order to achieve our goals for vaccination in the county, the figure I came up with was 1.2 million. Uh, and when I said when I thought add that number, I was like how the heck are we gonna get 1.2 million vaccinations into people’s arms and lo and behold, we have now surpassed 1,000,000 as of this week and we are going to hit that 1.2 million, certainly. And we will likely go well beyond that now with boosters being available, so I went start up with that number and this great sense of pride, you know. We’ve been fortunate during this pandemic to have a legislator, an elected County Executive, who has listened to the science at all turn. I think if you look at how things turned out in other places and places that are still having difficulties, the places where folks didn't listen to the science and you had leaders who were the ones who really had the decision making power in their hands who did not listen to their public health advisors, and thank goodness our executive, County Executive, Angela Alsobrooks did and continues to this day. I think that on April of last year. I wrote an op ed piece for the Washington Informer, and in that op ed piece I said that I was not surprised that black and brown people were suffering the brunt of the COVID outbreak, the COVID pandemic, and neither should anyone else be. You know, the folks who are suffering most before a pandemic, a disaster, an epidemic, any other mass casualty event, are going to be the same folks who suffer most during that event are gonna suffer most after unless you do something different. My you know things have been done and interventions made during the pandemic. My fear, just like some of the folks who some other folks in the community too were interviewed, is that we have a short memory in those counties. And it's very easy for us to forget where we were and what the conditions were and what the investments word that we made to bring us to bring us out of this for us in the county. And something that the CommuniVax work has certainly helped with is that everything from testing to roll out, all started with equality. Equal proportions and looking at equality and not looking at equity. And there's a big difference between equality and equity. You know, equality is giving everybody no matter what your condition, no matter what your starting point is the same amount because that feels good to people. It feels good that people making decisions that “well, I can give you know if I've got 100 shares or something, I've got 50 people. Everybody is going to get two and everybody should be happy with that.’ Well, the truth of the matter is, you have to do things in ways that are there that are equitable. And being equitable really means giving folks what they need to assure the greatest opportunity to achieve the success that you're trying to achieve. And that means that sometimes there are folks who need to get more that there are folks who need to get three shares while others get one. And not by you know it's not that you know biting any fault of their own, it's a system that's being created through, and in our case, there's systemic and structural racism that impacts even a great county like Prince Georges County, where we have, you know, the most affluent. Majority Black and Brown County in the country, but we still have black and brown people who have grown up in this country and suffered those consequences of having of having done so. You know we spent a lot of time working on initially talking to the governor and pushing the governor and then the state to move towards a more equitable distribution of resources rather than equal distribution of resources. And once that was achieved, we were able to also then, you know, develop a plan for locating services in areas that were the most needy. You know, getting the mass vaccination site at like Six Flags was no small achievement, and our County Executive fought very hard, not just to have it here, but then to also say, well, this is right in our own backyard. We are needy. We need to get ready to receive some more of these services and we actually carved out greater numbers of appointments for Prince Georgians and so they paid off, it certainly paid off in the end. And I'm just going to jump to sort of the one of the last things that you talked about and I'm glad you recognize the Prince George’s Forward Task Force and the information that's there and the work that was put forward there, and the recommendations that are coming out of that task force. Dr. Wright was a key member and leader of that Prince George’s Forward Task Force on the on the health side, and we thank him for his for his leadership there. And one of the biggest things that came up was, you know, after this winter of pandemic, we were coming into a budget season where you know businesses were closed and revenue was down, and this tough decisions had to be made about budgets. And in any other time, any other year, any other circumstance the brunt of that, any budget cuts or any budget shortfall would have fallen on our Human Services agencies that did not happen this year. There were no cuts. In fact, there are greater resources that increase staffing, millions of dollars put into our health insurance fund, which helps to take care of uncompensated care which will go out to our federally qualified health centers. And again, not cut. Whereas other places were cut. So I think the future looks bright for Prince George's County. We're watching right now, our numbers starting to go down. When we look across the country at what we were able to do, in our communities, our communities of color compared to what's happened in other parts of the country, it makes me very proud. So when I say at the beginning I'm concerned, I'm concerned 'cause I know we can do better because this is Prince George’s. But when we compare Prince George’s to other places that are that are somewhat similar there, there's no comparison. And thank you all for your partnership, there are lots of elected officials, particularly our officials, and in the predominantly Latinx community who really did a tremendous job of getting our Latinx community out to be vaccinated. We actually have that the highest percentage of folks in the county vaccinated are among our Latinx population, so it's really, again, a source of pride for us. So there's so much more that I could talk about. There's so much that has happened, and there's many more great stories to be told. But thank you for all of this work. Thank you for the opportunity to share our successes here in the county, but also to share, you know what needs to happen in the future. Let's not have a short memory about what it took to get out of this as we come to the light at the end of the tunnel.</w:t>
      </w:r>
    </w:p>
    <w:p w:rsidR="569029DE" w:rsidP="569029DE" w:rsidRDefault="569029DE" w14:paraId="09CC92AE" w14:textId="3E96519A">
      <w:pPr>
        <w:pStyle w:val="ListParagraph"/>
        <w:numPr>
          <w:ilvl w:val="1"/>
          <w:numId w:val="1"/>
        </w:numPr>
        <w:rPr>
          <w:sz w:val="24"/>
          <w:szCs w:val="24"/>
        </w:rPr>
      </w:pPr>
      <w:r w:rsidRPr="569029DE" w:rsidR="569029DE">
        <w:rPr>
          <w:rFonts w:ascii="Times New Roman" w:hAnsi="Times New Roman" w:eastAsia="Times New Roman" w:cs="Times New Roman"/>
        </w:rPr>
        <w:t>Question 3: (1:11:15 – 11:11:22) What did you take away from our report and the recommendations that might move us forward? Joe, your reflections my friend.</w:t>
      </w:r>
    </w:p>
    <w:p w:rsidR="569029DE" w:rsidP="569029DE" w:rsidRDefault="569029DE" w14:paraId="3BA5EF65" w14:textId="44AFDA5F">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569029DE" w:rsidR="569029DE">
        <w:rPr>
          <w:rFonts w:ascii="Times New Roman" w:hAnsi="Times New Roman" w:eastAsia="Times New Roman" w:cs="Times New Roman"/>
        </w:rPr>
        <w:t>Answer: (1:11:23 – 1:21:21) Dr. Wright: Thank you. Dr. Thomas. I jotted down some points as you and Dr. Quinn were moving through the presentation specifically in the recommendation phase and you know one thing that has been striking in the communication domain is the dynamism of the pandemic. It's been withering because the information has been so changing every day. And that staying the course with communication, as you've emphasized as part of the recommendations, I think is something that jumps out. Having a consistency, a template if you will to build off of because I know that the 28,000 member workforce at the University of Maryland Medical System, we struggle with the town halls that have shifting information each time that we get before the workforce. Even just today, I participated in a presentation in which the information with regard to boosters and such is a moving target. And I think that, so I take away the fact that we need this kind of these kinds of guardrails and this kind of experience that the CommuniVax project has been about from the beginning to really shore up, our communicators and our trusted voices to really deal with what is an ever-changing landscape. Because remember George, when we first started talking about the advent of herd immunity. We were like, let's get to 70%. We'll be good, right? Remember that? Well, guess what? The county is at 70% for those vaccinated 12 years of age and older. But guess what? The goal posts have changed, right? The goal posts as a result of Delta has really pushed the, what we need to do to get to a place of safety, for our community. And so that's a perfect example of where just a few months ago, we were communicating a message that today is not only not relevant, but we've got to assure the community and ensure confidence that we can get to a place of safety. So that jumped out, Stephen. The other thing that really jumped out, I want to make sure I hit this and you emphasized it, is the opportunity in Prince George's County, and in Maryland writ large, because of the payment structure for health systems and hospitals, we have an opportunity here when we talk about the total costs of care for which Deneen, myself, and our partners in the health systems are responsible for. This is a perfect platform to demonstrate how we both look back and look forward and embrace what's coming through the doors of our hospitals in a way that is a win-win. Because if we do this right, a rising tide floats all boats. And Maryland is unique in that regard, and Dr. Thomas as a commissioner, former Commissioner, you know this. You know that the opportunity here, particularly as the waiver, the Medicare waiver, we're not going to get into details of that tonight, but as we are approaching the next phase of renewal of that waiver, I think that this activity through the pandemic will help inform all of us as we prepare for that next phase of being responsible for the total cost of care in the state of Maryland. So there's a great opportunity that I think this project will help to inform. I also tried it down something that you referenced with regard to upgrading the digital divide that we experience as we're going out into the community, particularly with our mobile efforts, I will tell you that and share with the audience tonight that, regardless of the access point, anybody who's vaccinated in the state of Maryland, or frankly anywhere in the country, it needs to be registered, and in state of Maryland, it's a database called ImmuNet. And so that that requirement has forced us to really engage community partners, particularly at our mobile and pop-up sites to become better skilled over the course of time with registration, documentation, and then ultimately being able, particularly now where we're getting to a phase where we, if folks are in places of employment where the need to demonstrate vaccination is a requirement of employment, this kind of skill is necessary no matter what the access point is. And so that jumped out to me, Stephen, that is certainly something that we need to continue to amplify at the community levels. We also talked about the, I mentioned at the outset of my opening remarks that proportion of the unvaccinated that our children really give me a give me pause at this moment in particular. As we sit here 28%, of all new cases of COVID in this country are in children. That is, a percentage that has been higher than at any point during the pandemic, and it's a function of several factors but not the least of which is the return to in-person K-12 school. And we're really just on the verge of seeing the impact of that right now. But I want to say that the efforts to address vaccine confidence at the family level, and Dr. Quinn as the chair of Family Science, I want to emphasize what we are seeing in our health system is families coming in together and the children who are testing positive in our health system, and I'm sure the same thing that Deneen is experiencing, have largely been a part of family units. Where someone is concerned about an adult, they bring the kids in and we're able to address the need to protect families as a whole. And, uh, you know, one of my, one of the things that you mentioned, Stephen, that jumped out and when you talked about the vaccine hesitancy is really not understanding the importance of protecting those in our households, where we worship, where we play and the challenge and the vulnerability right now of children under the age of 12. Even though the Phase Three trials of have been completed, it's still several weeks away before we really are going to be able to get needles into arms for children between the ages of 5 and 12. So I want to just emphasize to the audience, particularly as we are on the verge or in the midst of a flu season, that we need to protect ourselves and our children. If nothing else, through vaccinating those adults who can be vaccinated, or are eligible, and thereby protecting those who can't be vaccinated are children under the age of 12. And that's something that we're watching very closely with the county and all of us around the state. And let me just close with this, I think that the opportunity here, and Stephen you hit it best, we need to be unapologetic in our commitment to equity and unwinding 400 years of systemic and structural inequity and, you know, this is a unique place. There are unique dynamics in how even the history of Prince Georges County came to be, that we don't have time to get into tonight, but these are all issues that have been laid bare through the pandemic and certainly this project has put the voice of the people up front, and I love the crosswalk between these recommendations and the Prince George’s Forward Task Force recommendations. Fantastic! This is a whole that's greater than the sum of its individual parts, so thank you so much for this and the opportunity tonight.</w:t>
      </w:r>
    </w:p>
    <w:p w:rsidR="569029DE" w:rsidP="569029DE" w:rsidRDefault="569029DE" w14:paraId="1DD2D9EC" w14:textId="765A1DB9">
      <w:pPr>
        <w:pStyle w:val="ListParagraph"/>
        <w:numPr>
          <w:ilvl w:val="1"/>
          <w:numId w:val="1"/>
        </w:numPr>
        <w:rPr>
          <w:sz w:val="24"/>
          <w:szCs w:val="24"/>
        </w:rPr>
      </w:pPr>
      <w:r w:rsidRPr="569029DE" w:rsidR="569029DE">
        <w:rPr>
          <w:rFonts w:ascii="Times New Roman" w:hAnsi="Times New Roman" w:eastAsia="Times New Roman" w:cs="Times New Roman"/>
        </w:rPr>
        <w:t>Question 4: (1:24:20 – 1:24:37) How can these community groups, how can the people that want to see some of these efforts sustained to address issues of health equity, how can we help you make that continued case?</w:t>
      </w:r>
    </w:p>
    <w:p w:rsidR="569029DE" w:rsidP="569029DE" w:rsidRDefault="569029DE" w14:paraId="410EC469" w14:textId="03348A47">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569029DE" w:rsidR="569029DE">
        <w:rPr>
          <w:rFonts w:ascii="Times New Roman" w:hAnsi="Times New Roman" w:eastAsia="Times New Roman" w:cs="Times New Roman"/>
        </w:rPr>
        <w:t>Answer: (1:24:42 – 1:26:01) Dr. Askew: Certainly, one of the things is to, you know, continue our partnership and continue our communication. I think that that's, you know, the first the first step. But also, I think you have a county and a community that believes in the data and believes in the science. Your ability to provide the data that will help drive my arguments and my advocacy for Health and Human Services is invaluable to me, and it's invaluable because I have people that understand data and understand science. It wouldn’t be, it's, I remember getting asked a question. delivering a lecture to medical students in New York and it was about advocacy, and the question was ‘well, what happens when science is no longer the currency of advocacy, when the science doesn't mean anything?’ Well, then you're in trouble. We're not in trouble here and so please do continue to continue to support us with the scholarly activity and scholarly work that that's being done by the School of Public Health.</w:t>
      </w:r>
    </w:p>
    <w:p w:rsidR="569029DE" w:rsidP="569029DE" w:rsidRDefault="569029DE" w14:paraId="53591531" w14:textId="517A1012">
      <w:pPr>
        <w:pStyle w:val="ListParagraph"/>
        <w:numPr>
          <w:ilvl w:val="1"/>
          <w:numId w:val="1"/>
        </w:numPr>
        <w:rPr>
          <w:rFonts w:ascii="Wingdings" w:hAnsi="Wingdings" w:eastAsia="Wingdings" w:cs="Wingdings" w:asciiTheme="minorAscii" w:hAnsiTheme="minorAscii" w:eastAsiaTheme="minorAscii" w:cstheme="minorAscii"/>
          <w:noProof w:val="0"/>
          <w:sz w:val="24"/>
          <w:szCs w:val="24"/>
          <w:lang w:val="en-US"/>
        </w:rPr>
      </w:pPr>
      <w:r w:rsidRPr="569029DE" w:rsidR="569029DE">
        <w:rPr>
          <w:rFonts w:ascii="Times New Roman" w:hAnsi="Times New Roman" w:eastAsia="Times New Roman" w:cs="Times New Roman"/>
          <w:noProof w:val="0"/>
          <w:sz w:val="24"/>
          <w:szCs w:val="24"/>
          <w:lang w:val="en-US"/>
        </w:rPr>
        <w:t>Question 5: (1:26:17 – 1:26:20) Joe, what’s the take-home message tonight?</w:t>
      </w:r>
    </w:p>
    <w:p w:rsidR="569029DE" w:rsidP="569029DE" w:rsidRDefault="569029DE" w14:paraId="6446759C" w14:textId="08C15CC5">
      <w:pPr>
        <w:pStyle w:val="ListParagraph"/>
        <w:numPr>
          <w:ilvl w:val="2"/>
          <w:numId w:val="1"/>
        </w:numPr>
        <w:rPr>
          <w:noProof w:val="0"/>
          <w:sz w:val="24"/>
          <w:szCs w:val="24"/>
          <w:lang w:val="en-US"/>
        </w:rPr>
      </w:pPr>
      <w:r w:rsidRPr="569029DE" w:rsidR="569029DE">
        <w:rPr>
          <w:rFonts w:ascii="Times New Roman" w:hAnsi="Times New Roman" w:eastAsia="Times New Roman" w:cs="Times New Roman"/>
          <w:noProof w:val="0"/>
          <w:sz w:val="24"/>
          <w:szCs w:val="24"/>
          <w:lang w:val="en-US"/>
        </w:rPr>
        <w:t>Answer: (1:26:21 – 1:27:07) Dr. Wright: I think the collaboration is the message, Stephen. I will emphasize the fact that we are an academic health system. It is important that we grow the next generation of public health professionals in this county. And what better platform than the work being done right now? And so, I really want to echo what my colleague Dr. Askew has already said about collaborating around evidence and science and frankly, building on the talent that is right here in our county.</w:t>
      </w:r>
    </w:p>
    <w:p w:rsidR="569029DE" w:rsidP="569029DE" w:rsidRDefault="569029DE" w14:paraId="7763C946" w14:textId="00C0E822">
      <w:pPr>
        <w:pStyle w:val="ListParagraph"/>
        <w:numPr>
          <w:ilvl w:val="1"/>
          <w:numId w:val="1"/>
        </w:numPr>
        <w:rPr>
          <w:noProof w:val="0"/>
          <w:sz w:val="24"/>
          <w:szCs w:val="24"/>
          <w:lang w:val="en-US"/>
        </w:rPr>
      </w:pPr>
      <w:r w:rsidRPr="569029DE" w:rsidR="569029DE">
        <w:rPr>
          <w:rFonts w:ascii="Times New Roman" w:hAnsi="Times New Roman" w:eastAsia="Times New Roman" w:cs="Times New Roman"/>
          <w:noProof w:val="0"/>
          <w:sz w:val="24"/>
          <w:szCs w:val="24"/>
          <w:lang w:val="en-US"/>
        </w:rPr>
        <w:t>Question 6: (1:27:23 – 1:27:25) Deneen, what’s the take-home message tonight from you?</w:t>
      </w:r>
    </w:p>
    <w:p w:rsidR="569029DE" w:rsidP="569029DE" w:rsidRDefault="569029DE" w14:paraId="0A966410" w14:textId="7F94C0B1">
      <w:pPr>
        <w:pStyle w:val="ListParagraph"/>
        <w:numPr>
          <w:ilvl w:val="2"/>
          <w:numId w:val="1"/>
        </w:numPr>
        <w:rPr>
          <w:noProof w:val="0"/>
          <w:sz w:val="24"/>
          <w:szCs w:val="24"/>
          <w:lang w:val="en-US"/>
        </w:rPr>
      </w:pPr>
      <w:r w:rsidRPr="569029DE" w:rsidR="569029DE">
        <w:rPr>
          <w:rFonts w:ascii="Times New Roman" w:hAnsi="Times New Roman" w:eastAsia="Times New Roman" w:cs="Times New Roman"/>
          <w:noProof w:val="0"/>
          <w:sz w:val="24"/>
          <w:szCs w:val="24"/>
          <w:lang w:val="en-US"/>
        </w:rPr>
        <w:t xml:space="preserve">Answer: (1:27:25 – 1:27:57) Deneen Richmond: You know what? I’m gonna stick to the theme. So, Dr. Wright you are 100% right, collaboration, staying connected, and I also think the focus on health and recognizing that our teams aren't just, we want more health professionals, we need public health professionals, we need clinicians, but we also need those with lived experience, those trusted voices in the community they’re all part of our team and I think together we're, you know there's nothing that we can't do. </w:t>
      </w:r>
      <w:proofErr w:type="gramStart"/>
      <w:r w:rsidRPr="569029DE" w:rsidR="569029DE">
        <w:rPr>
          <w:rFonts w:ascii="Times New Roman" w:hAnsi="Times New Roman" w:eastAsia="Times New Roman" w:cs="Times New Roman"/>
          <w:noProof w:val="0"/>
          <w:sz w:val="24"/>
          <w:szCs w:val="24"/>
          <w:lang w:val="en-US"/>
        </w:rPr>
        <w:t>So</w:t>
      </w:r>
      <w:proofErr w:type="gramEnd"/>
      <w:r w:rsidRPr="569029DE" w:rsidR="569029DE">
        <w:rPr>
          <w:rFonts w:ascii="Times New Roman" w:hAnsi="Times New Roman" w:eastAsia="Times New Roman" w:cs="Times New Roman"/>
          <w:noProof w:val="0"/>
          <w:sz w:val="24"/>
          <w:szCs w:val="24"/>
          <w:lang w:val="en-US"/>
        </w:rPr>
        <w:t xml:space="preserve"> it's all about collaboration.</w:t>
      </w:r>
    </w:p>
    <w:p w:rsidR="569029DE" w:rsidP="569029DE" w:rsidRDefault="569029DE" w14:paraId="7EAB93A4" w14:textId="5EE96271">
      <w:pPr>
        <w:pStyle w:val="ListParagraph"/>
        <w:numPr>
          <w:ilvl w:val="1"/>
          <w:numId w:val="1"/>
        </w:numPr>
        <w:rPr>
          <w:noProof w:val="0"/>
          <w:sz w:val="24"/>
          <w:szCs w:val="24"/>
          <w:lang w:val="en-US"/>
        </w:rPr>
      </w:pPr>
      <w:r w:rsidRPr="569029DE" w:rsidR="569029DE">
        <w:rPr>
          <w:rFonts w:ascii="Times New Roman" w:hAnsi="Times New Roman" w:eastAsia="Times New Roman" w:cs="Times New Roman"/>
          <w:noProof w:val="0"/>
          <w:sz w:val="24"/>
          <w:szCs w:val="24"/>
          <w:lang w:val="en-US"/>
        </w:rPr>
        <w:t>Question 7: (1:27:58 – 1:28:01) Dr. Quinn, take-home message?</w:t>
      </w:r>
    </w:p>
    <w:p w:rsidR="569029DE" w:rsidP="569029DE" w:rsidRDefault="569029DE" w14:paraId="603443F7" w14:textId="35CF812A">
      <w:pPr>
        <w:pStyle w:val="ListParagraph"/>
        <w:numPr>
          <w:ilvl w:val="2"/>
          <w:numId w:val="1"/>
        </w:numPr>
        <w:rPr>
          <w:noProof w:val="0"/>
          <w:sz w:val="24"/>
          <w:szCs w:val="24"/>
          <w:lang w:val="en-US"/>
        </w:rPr>
      </w:pPr>
      <w:r w:rsidRPr="569029DE" w:rsidR="569029DE">
        <w:rPr>
          <w:rFonts w:ascii="Times New Roman" w:hAnsi="Times New Roman" w:eastAsia="Times New Roman" w:cs="Times New Roman"/>
          <w:noProof w:val="0"/>
          <w:sz w:val="24"/>
          <w:szCs w:val="24"/>
          <w:lang w:val="en-US"/>
        </w:rPr>
        <w:t>Answer: (1:28:02 – 1:28:19) Dr. Quinn: I think that we have a strong foundation to work with. We have policies, legislation passed that can help support these efforts. We have willing partners in the county, and we have a willing public that's that wants to be engaged in this process.</w:t>
      </w:r>
    </w:p>
    <w:p w:rsidR="569029DE" w:rsidP="569029DE" w:rsidRDefault="569029DE" w14:paraId="5C297915" w14:textId="0534F93D">
      <w:pPr>
        <w:pStyle w:val="Normal"/>
        <w:ind w:left="1440"/>
        <w:rPr>
          <w:rFonts w:ascii="Times New Roman" w:hAnsi="Times New Roman" w:eastAsia="Times New Roman" w:cs="Times New Roman"/>
          <w:noProof w:val="0"/>
          <w:sz w:val="24"/>
          <w:szCs w:val="24"/>
          <w:lang w:val="en-US"/>
        </w:rPr>
      </w:pPr>
    </w:p>
    <w:p w:rsidRPr="00F30151" w:rsidR="00F30151" w:rsidP="632514B1" w:rsidRDefault="00F30151" w14:paraId="00C56FFD" w14:textId="274D50F1">
      <w:pPr>
        <w:pStyle w:val="ListParagraph"/>
        <w:numPr>
          <w:ilvl w:val="0"/>
          <w:numId w:val="1"/>
        </w:numPr>
        <w:rPr>
          <w:rFonts w:ascii="Times New Roman" w:hAnsi="Times New Roman" w:eastAsia="Times New Roman" w:cs="Times New Roman"/>
          <w:u w:val="single"/>
        </w:rPr>
      </w:pPr>
      <w:r w:rsidRPr="632514B1" w:rsidR="632514B1">
        <w:rPr>
          <w:rFonts w:ascii="Times New Roman" w:hAnsi="Times New Roman" w:eastAsia="Times New Roman" w:cs="Times New Roman"/>
          <w:u w:val="single"/>
        </w:rPr>
        <w:t>Unanswered Questions</w:t>
      </w:r>
    </w:p>
    <w:p w:rsidR="00F30151" w:rsidP="632514B1" w:rsidRDefault="00F30151" w14:paraId="5C26E3B9" w14:textId="491E9AD7">
      <w:pPr>
        <w:pStyle w:val="ListParagraph"/>
        <w:numPr>
          <w:ilvl w:val="1"/>
          <w:numId w:val="1"/>
        </w:numPr>
        <w:rPr>
          <w:rFonts w:ascii="Times New Roman" w:hAnsi="Times New Roman" w:eastAsia="Times New Roman" w:cs="Times New Roman"/>
        </w:rPr>
      </w:pPr>
      <w:r w:rsidRPr="569029DE" w:rsidR="569029DE">
        <w:rPr>
          <w:rFonts w:ascii="Times New Roman" w:hAnsi="Times New Roman" w:eastAsia="Times New Roman" w:cs="Times New Roman"/>
        </w:rPr>
        <w:t>Question 1: (</w:t>
      </w:r>
      <w:r w:rsidRPr="569029DE" w:rsidR="569029DE">
        <w:rPr>
          <w:rFonts w:ascii="Times New Roman" w:hAnsi="Times New Roman" w:eastAsia="Times New Roman" w:cs="Times New Roman"/>
        </w:rPr>
        <w:t>Read aloud from the chat</w:t>
      </w:r>
      <w:r w:rsidRPr="569029DE" w:rsidR="569029DE">
        <w:rPr>
          <w:rFonts w:ascii="Times New Roman" w:hAnsi="Times New Roman" w:eastAsia="Times New Roman" w:cs="Times New Roman"/>
        </w:rPr>
        <w:t>)</w:t>
      </w:r>
      <w:r w:rsidRPr="569029DE" w:rsidR="569029DE">
        <w:rPr>
          <w:rFonts w:ascii="Times New Roman" w:hAnsi="Times New Roman" w:eastAsia="Times New Roman" w:cs="Times New Roman"/>
        </w:rPr>
        <w:t xml:space="preserve"> How has Prince George’s community responded to your efforts to expand this model beyond COVID? Do you think this is sustainable once COVID has come under control?</w:t>
      </w:r>
    </w:p>
    <w:p w:rsidR="00137DD9" w:rsidP="632514B1" w:rsidRDefault="00137DD9" w14:paraId="4F2A7EC0" w14:textId="1E87C020">
      <w:pPr>
        <w:rPr>
          <w:rFonts w:ascii="Times New Roman" w:hAnsi="Times New Roman" w:eastAsia="Times New Roman" w:cs="Times New Roman"/>
        </w:rPr>
      </w:pPr>
    </w:p>
    <w:p w:rsidR="00137DD9" w:rsidP="632514B1" w:rsidRDefault="00137DD9" w14:paraId="58E25534" w14:textId="3EF08B01">
      <w:pPr>
        <w:rPr>
          <w:rFonts w:ascii="Times New Roman" w:hAnsi="Times New Roman" w:eastAsia="Times New Roman" w:cs="Times New Roman"/>
          <w:b w:val="1"/>
          <w:bCs w:val="1"/>
        </w:rPr>
      </w:pPr>
      <w:r w:rsidRPr="632514B1" w:rsidR="632514B1">
        <w:rPr>
          <w:rFonts w:ascii="Times New Roman" w:hAnsi="Times New Roman" w:eastAsia="Times New Roman" w:cs="Times New Roman"/>
          <w:b w:val="1"/>
          <w:bCs w:val="1"/>
        </w:rPr>
        <w:t xml:space="preserve">Timestamps of potential promotional material </w:t>
      </w:r>
    </w:p>
    <w:p w:rsidR="00137DD9" w:rsidP="632514B1" w:rsidRDefault="00137DD9" w14:paraId="2D117577" w14:textId="11D41061">
      <w:pPr>
        <w:rPr>
          <w:rFonts w:ascii="Times New Roman" w:hAnsi="Times New Roman" w:eastAsia="Times New Roman" w:cs="Times New Roman"/>
          <w:b w:val="1"/>
          <w:bCs w:val="1"/>
        </w:rPr>
      </w:pPr>
    </w:p>
    <w:tbl>
      <w:tblPr>
        <w:tblStyle w:val="TableGrid"/>
        <w:tblW w:w="9895" w:type="dxa"/>
        <w:tblLook w:val="04A0" w:firstRow="1" w:lastRow="0" w:firstColumn="1" w:lastColumn="0" w:noHBand="0" w:noVBand="1"/>
      </w:tblPr>
      <w:tblGrid>
        <w:gridCol w:w="3116"/>
        <w:gridCol w:w="6779"/>
      </w:tblGrid>
      <w:tr w:rsidR="00137DD9" w:rsidTr="53643D29" w14:paraId="568E4B5E" w14:textId="77777777">
        <w:tc>
          <w:tcPr>
            <w:tcW w:w="3116" w:type="dxa"/>
            <w:tcMar/>
          </w:tcPr>
          <w:p w:rsidR="00137DD9" w:rsidP="632514B1" w:rsidRDefault="00137DD9" w14:paraId="293DA364" w14:textId="59B5151F">
            <w:pPr>
              <w:rPr>
                <w:rFonts w:ascii="Times New Roman" w:hAnsi="Times New Roman" w:eastAsia="Times New Roman" w:cs="Times New Roman"/>
              </w:rPr>
            </w:pPr>
            <w:r w:rsidRPr="632514B1" w:rsidR="632514B1">
              <w:rPr>
                <w:rFonts w:ascii="Times New Roman" w:hAnsi="Times New Roman" w:eastAsia="Times New Roman" w:cs="Times New Roman"/>
              </w:rPr>
              <w:t>Timestamp</w:t>
            </w:r>
          </w:p>
        </w:tc>
        <w:tc>
          <w:tcPr>
            <w:tcW w:w="6779" w:type="dxa"/>
            <w:tcMar/>
          </w:tcPr>
          <w:p w:rsidR="00137DD9" w:rsidP="632514B1" w:rsidRDefault="00137DD9" w14:paraId="3CB20B4B" w14:textId="0260C5A1">
            <w:pPr>
              <w:rPr>
                <w:rFonts w:ascii="Times New Roman" w:hAnsi="Times New Roman" w:eastAsia="Times New Roman" w:cs="Times New Roman"/>
              </w:rPr>
            </w:pPr>
            <w:r w:rsidRPr="632514B1" w:rsidR="632514B1">
              <w:rPr>
                <w:rFonts w:ascii="Times New Roman" w:hAnsi="Times New Roman" w:eastAsia="Times New Roman" w:cs="Times New Roman"/>
              </w:rPr>
              <w:t>Description of clip</w:t>
            </w:r>
          </w:p>
        </w:tc>
      </w:tr>
      <w:tr w:rsidR="00137DD9" w:rsidTr="53643D29" w14:paraId="5A397DA8" w14:textId="77777777">
        <w:tc>
          <w:tcPr>
            <w:tcW w:w="3116" w:type="dxa"/>
            <w:tcMar/>
          </w:tcPr>
          <w:p w:rsidR="00137DD9" w:rsidP="632514B1" w:rsidRDefault="00137DD9" w14:paraId="2BEE405F" w14:textId="489C4D0B">
            <w:pPr>
              <w:rPr>
                <w:rFonts w:ascii="Times New Roman" w:hAnsi="Times New Roman" w:eastAsia="Times New Roman" w:cs="Times New Roman"/>
              </w:rPr>
            </w:pPr>
            <w:proofErr w:type="gramStart"/>
            <w:r w:rsidRPr="632514B1" w:rsidR="632514B1">
              <w:rPr>
                <w:rFonts w:ascii="Times New Roman" w:hAnsi="Times New Roman" w:eastAsia="Times New Roman" w:cs="Times New Roman"/>
              </w:rPr>
              <w:t>XX:XX</w:t>
            </w:r>
            <w:proofErr w:type="gramEnd"/>
            <w:r w:rsidRPr="632514B1" w:rsidR="632514B1">
              <w:rPr>
                <w:rFonts w:ascii="Times New Roman" w:hAnsi="Times New Roman" w:eastAsia="Times New Roman" w:cs="Times New Roman"/>
              </w:rPr>
              <w:t>-</w:t>
            </w:r>
            <w:proofErr w:type="gramStart"/>
            <w:r w:rsidRPr="632514B1" w:rsidR="632514B1">
              <w:rPr>
                <w:rFonts w:ascii="Times New Roman" w:hAnsi="Times New Roman" w:eastAsia="Times New Roman" w:cs="Times New Roman"/>
              </w:rPr>
              <w:t>XX:XX</w:t>
            </w:r>
            <w:proofErr w:type="gramEnd"/>
          </w:p>
        </w:tc>
        <w:tc>
          <w:tcPr>
            <w:tcW w:w="6779" w:type="dxa"/>
            <w:tcMar/>
          </w:tcPr>
          <w:p w:rsidR="00137DD9" w:rsidP="632514B1" w:rsidRDefault="00137DD9" w14:paraId="6E285393" w14:textId="5E3DF4B8">
            <w:pPr>
              <w:rPr>
                <w:rFonts w:ascii="Times New Roman" w:hAnsi="Times New Roman" w:eastAsia="Times New Roman" w:cs="Times New Roman"/>
              </w:rPr>
            </w:pPr>
            <w:r w:rsidRPr="632514B1" w:rsidR="632514B1">
              <w:rPr>
                <w:rFonts w:ascii="Times New Roman" w:hAnsi="Times New Roman" w:eastAsia="Times New Roman" w:cs="Times New Roman"/>
              </w:rPr>
              <w:t xml:space="preserve">[Speaker name] answering question concerning XX, </w:t>
            </w:r>
          </w:p>
        </w:tc>
      </w:tr>
      <w:tr w:rsidR="5957C485" w:rsidTr="53643D29" w14:paraId="032274CF">
        <w:tc>
          <w:tcPr>
            <w:tcW w:w="3116" w:type="dxa"/>
            <w:tcMar/>
          </w:tcPr>
          <w:p w:rsidR="5957C485" w:rsidP="53643D29" w:rsidRDefault="5957C485" w14:paraId="618B3F1C" w14:textId="6E329444">
            <w:pPr>
              <w:pStyle w:val="Normal"/>
              <w:rPr>
                <w:rFonts w:ascii="Calibri" w:hAnsi="Calibri" w:eastAsia="Calibri" w:cs="Calibri" w:asciiTheme="minorAscii" w:hAnsiTheme="minorAscii" w:eastAsiaTheme="minorAscii" w:cstheme="minorAscii"/>
                <w:sz w:val="24"/>
                <w:szCs w:val="24"/>
              </w:rPr>
            </w:pPr>
            <w:r w:rsidRPr="53643D29" w:rsidR="53643D29">
              <w:rPr>
                <w:rFonts w:ascii="Times New Roman" w:hAnsi="Times New Roman" w:eastAsia="Times New Roman" w:cs="Times New Roman"/>
              </w:rPr>
              <w:t>1:00:58 – 1:01:27</w:t>
            </w:r>
          </w:p>
        </w:tc>
        <w:tc>
          <w:tcPr>
            <w:tcW w:w="6779" w:type="dxa"/>
            <w:tcMar/>
          </w:tcPr>
          <w:p w:rsidR="5957C485" w:rsidP="5957C485" w:rsidRDefault="5957C485" w14:paraId="18E87105" w14:textId="52057BDE">
            <w:pPr>
              <w:pStyle w:val="Normal"/>
              <w:rPr>
                <w:rFonts w:ascii="Times New Roman" w:hAnsi="Times New Roman" w:eastAsia="Times New Roman" w:cs="Times New Roman"/>
              </w:rPr>
            </w:pPr>
            <w:r w:rsidRPr="53643D29" w:rsidR="53643D29">
              <w:rPr>
                <w:rFonts w:ascii="Times New Roman" w:hAnsi="Times New Roman" w:eastAsia="Times New Roman" w:cs="Times New Roman"/>
              </w:rPr>
              <w:t xml:space="preserve">Deneen Richmond recognizing the partnership between </w:t>
            </w:r>
            <w:proofErr w:type="spellStart"/>
            <w:r w:rsidRPr="53643D29" w:rsidR="53643D29">
              <w:rPr>
                <w:rFonts w:ascii="Times New Roman" w:hAnsi="Times New Roman" w:eastAsia="Times New Roman" w:cs="Times New Roman"/>
              </w:rPr>
              <w:t>Luminis</w:t>
            </w:r>
            <w:proofErr w:type="spellEnd"/>
            <w:r w:rsidRPr="53643D29" w:rsidR="53643D29">
              <w:rPr>
                <w:rFonts w:ascii="Times New Roman" w:hAnsi="Times New Roman" w:eastAsia="Times New Roman" w:cs="Times New Roman"/>
              </w:rPr>
              <w:t xml:space="preserve"> and Dr. Thomas</w:t>
            </w:r>
          </w:p>
        </w:tc>
      </w:tr>
      <w:tr w:rsidR="53643D29" w:rsidTr="53643D29" w14:paraId="499C0E26">
        <w:tc>
          <w:tcPr>
            <w:tcW w:w="3116" w:type="dxa"/>
            <w:tcMar/>
          </w:tcPr>
          <w:p w:rsidR="53643D29" w:rsidP="53643D29" w:rsidRDefault="53643D29" w14:paraId="0C153C30" w14:textId="4B996DCB">
            <w:pPr>
              <w:pStyle w:val="Normal"/>
              <w:rPr>
                <w:rFonts w:ascii="Times New Roman" w:hAnsi="Times New Roman" w:eastAsia="Times New Roman" w:cs="Times New Roman"/>
              </w:rPr>
            </w:pPr>
            <w:r w:rsidRPr="53643D29" w:rsidR="53643D29">
              <w:rPr>
                <w:rFonts w:ascii="Times New Roman" w:hAnsi="Times New Roman" w:eastAsia="Times New Roman" w:cs="Times New Roman"/>
              </w:rPr>
              <w:t>1:04:44 – 1:07:20</w:t>
            </w:r>
          </w:p>
        </w:tc>
        <w:tc>
          <w:tcPr>
            <w:tcW w:w="6779" w:type="dxa"/>
            <w:tcMar/>
          </w:tcPr>
          <w:p w:rsidR="53643D29" w:rsidP="53643D29" w:rsidRDefault="53643D29" w14:paraId="3BBF2499" w14:textId="4165E06B">
            <w:pPr>
              <w:pStyle w:val="Normal"/>
              <w:rPr>
                <w:rFonts w:ascii="Times New Roman" w:hAnsi="Times New Roman" w:eastAsia="Times New Roman" w:cs="Times New Roman"/>
              </w:rPr>
            </w:pPr>
            <w:r w:rsidRPr="53643D29" w:rsidR="53643D29">
              <w:rPr>
                <w:rFonts w:ascii="Times New Roman" w:hAnsi="Times New Roman" w:eastAsia="Times New Roman" w:cs="Times New Roman"/>
              </w:rPr>
              <w:t>Dr. Askew discussing CommuniVax’s involvement in striving for equity in the state vaccine distribution process</w:t>
            </w:r>
          </w:p>
        </w:tc>
      </w:tr>
      <w:tr w:rsidR="53643D29" w:rsidTr="53643D29" w14:paraId="5F354262">
        <w:tc>
          <w:tcPr>
            <w:tcW w:w="3116" w:type="dxa"/>
            <w:tcMar/>
          </w:tcPr>
          <w:p w:rsidR="53643D29" w:rsidP="53643D29" w:rsidRDefault="53643D29" w14:paraId="7627CFFD" w14:textId="0F48F80A">
            <w:pPr>
              <w:pStyle w:val="Normal"/>
              <w:rPr>
                <w:rFonts w:ascii="Times New Roman" w:hAnsi="Times New Roman" w:eastAsia="Times New Roman" w:cs="Times New Roman"/>
              </w:rPr>
            </w:pPr>
            <w:r w:rsidRPr="53643D29" w:rsidR="53643D29">
              <w:rPr>
                <w:rFonts w:ascii="Times New Roman" w:hAnsi="Times New Roman" w:eastAsia="Times New Roman" w:cs="Times New Roman"/>
              </w:rPr>
              <w:t>1:12:43 – 1:13:06</w:t>
            </w:r>
          </w:p>
        </w:tc>
        <w:tc>
          <w:tcPr>
            <w:tcW w:w="6779" w:type="dxa"/>
            <w:tcMar/>
          </w:tcPr>
          <w:p w:rsidR="53643D29" w:rsidP="53643D29" w:rsidRDefault="53643D29" w14:paraId="49B30C7B" w14:textId="114A3B71">
            <w:pPr>
              <w:pStyle w:val="Normal"/>
              <w:rPr>
                <w:rFonts w:ascii="Times New Roman" w:hAnsi="Times New Roman" w:eastAsia="Times New Roman" w:cs="Times New Roman"/>
              </w:rPr>
            </w:pPr>
            <w:r w:rsidRPr="53643D29" w:rsidR="53643D29">
              <w:rPr>
                <w:rFonts w:ascii="Times New Roman" w:hAnsi="Times New Roman" w:eastAsia="Times New Roman" w:cs="Times New Roman"/>
              </w:rPr>
              <w:t>Dr. Wright discussing the role of CommuniVax</w:t>
            </w:r>
          </w:p>
        </w:tc>
      </w:tr>
      <w:tr w:rsidR="53643D29" w:rsidTr="53643D29" w14:paraId="66475C2A">
        <w:tc>
          <w:tcPr>
            <w:tcW w:w="3116" w:type="dxa"/>
            <w:tcMar/>
          </w:tcPr>
          <w:p w:rsidR="53643D29" w:rsidP="53643D29" w:rsidRDefault="53643D29" w14:paraId="47097883" w14:textId="51AF7198">
            <w:pPr>
              <w:pStyle w:val="Normal"/>
              <w:rPr>
                <w:rFonts w:ascii="Times New Roman" w:hAnsi="Times New Roman" w:eastAsia="Times New Roman" w:cs="Times New Roman"/>
              </w:rPr>
            </w:pPr>
            <w:r w:rsidRPr="53643D29" w:rsidR="53643D29">
              <w:rPr>
                <w:rFonts w:ascii="Times New Roman" w:hAnsi="Times New Roman" w:eastAsia="Times New Roman" w:cs="Times New Roman"/>
              </w:rPr>
              <w:t xml:space="preserve">1:14:17 – 1:15:44 </w:t>
            </w:r>
          </w:p>
        </w:tc>
        <w:tc>
          <w:tcPr>
            <w:tcW w:w="6779" w:type="dxa"/>
            <w:tcMar/>
          </w:tcPr>
          <w:p w:rsidR="53643D29" w:rsidP="53643D29" w:rsidRDefault="53643D29" w14:paraId="20597367" w14:textId="154F9965">
            <w:pPr>
              <w:pStyle w:val="Normal"/>
              <w:rPr>
                <w:rFonts w:ascii="Times New Roman" w:hAnsi="Times New Roman" w:eastAsia="Times New Roman" w:cs="Times New Roman"/>
              </w:rPr>
            </w:pPr>
            <w:r w:rsidRPr="53643D29" w:rsidR="53643D29">
              <w:rPr>
                <w:rFonts w:ascii="Times New Roman" w:hAnsi="Times New Roman" w:eastAsia="Times New Roman" w:cs="Times New Roman"/>
              </w:rPr>
              <w:t xml:space="preserve">Dr. Wright discussing opportunity for </w:t>
            </w:r>
            <w:proofErr w:type="spellStart"/>
            <w:r w:rsidRPr="53643D29" w:rsidR="53643D29">
              <w:rPr>
                <w:rFonts w:ascii="Times New Roman" w:hAnsi="Times New Roman" w:eastAsia="Times New Roman" w:cs="Times New Roman"/>
              </w:rPr>
              <w:t>CommuniVax</w:t>
            </w:r>
            <w:proofErr w:type="spellEnd"/>
            <w:r w:rsidRPr="53643D29" w:rsidR="53643D29">
              <w:rPr>
                <w:rFonts w:ascii="Times New Roman" w:hAnsi="Times New Roman" w:eastAsia="Times New Roman" w:cs="Times New Roman"/>
              </w:rPr>
              <w:t xml:space="preserve"> to inform about Medicare waivers and the total cost of care in Maryland</w:t>
            </w:r>
          </w:p>
        </w:tc>
      </w:tr>
      <w:tr w:rsidR="53643D29" w:rsidTr="53643D29" w14:paraId="3E2B7F9E">
        <w:tc>
          <w:tcPr>
            <w:tcW w:w="3116" w:type="dxa"/>
            <w:tcMar/>
          </w:tcPr>
          <w:p w:rsidR="53643D29" w:rsidP="53643D29" w:rsidRDefault="53643D29" w14:paraId="7A9C9C0E" w14:textId="79F70769">
            <w:pPr>
              <w:pStyle w:val="Normal"/>
              <w:rPr>
                <w:rFonts w:ascii="Times New Roman" w:hAnsi="Times New Roman" w:eastAsia="Times New Roman" w:cs="Times New Roman"/>
              </w:rPr>
            </w:pPr>
            <w:r w:rsidRPr="53643D29" w:rsidR="53643D29">
              <w:rPr>
                <w:rFonts w:ascii="Times New Roman" w:hAnsi="Times New Roman" w:eastAsia="Times New Roman" w:cs="Times New Roman"/>
              </w:rPr>
              <w:t>1:20:32 – 1:21:21</w:t>
            </w:r>
          </w:p>
        </w:tc>
        <w:tc>
          <w:tcPr>
            <w:tcW w:w="6779" w:type="dxa"/>
            <w:tcMar/>
          </w:tcPr>
          <w:p w:rsidR="53643D29" w:rsidP="53643D29" w:rsidRDefault="53643D29" w14:paraId="71377A85" w14:textId="61ECF34C">
            <w:pPr>
              <w:pStyle w:val="Normal"/>
              <w:rPr>
                <w:rFonts w:ascii="Times New Roman" w:hAnsi="Times New Roman" w:eastAsia="Times New Roman" w:cs="Times New Roman"/>
              </w:rPr>
            </w:pPr>
            <w:r w:rsidRPr="53643D29" w:rsidR="53643D29">
              <w:rPr>
                <w:rFonts w:ascii="Times New Roman" w:hAnsi="Times New Roman" w:eastAsia="Times New Roman" w:cs="Times New Roman"/>
              </w:rPr>
              <w:t xml:space="preserve">Dr. Wright discussing </w:t>
            </w:r>
            <w:proofErr w:type="spellStart"/>
            <w:r w:rsidRPr="53643D29" w:rsidR="53643D29">
              <w:rPr>
                <w:rFonts w:ascii="Times New Roman" w:hAnsi="Times New Roman" w:eastAsia="Times New Roman" w:cs="Times New Roman"/>
              </w:rPr>
              <w:t>CommuniVax</w:t>
            </w:r>
            <w:proofErr w:type="spellEnd"/>
            <w:r w:rsidRPr="53643D29" w:rsidR="53643D29">
              <w:rPr>
                <w:rFonts w:ascii="Times New Roman" w:hAnsi="Times New Roman" w:eastAsia="Times New Roman" w:cs="Times New Roman"/>
              </w:rPr>
              <w:t xml:space="preserve"> in the context of Prince George’s County</w:t>
            </w:r>
          </w:p>
        </w:tc>
      </w:tr>
    </w:tbl>
    <w:p w:rsidR="00137DD9" w:rsidP="632514B1" w:rsidRDefault="00137DD9" w14:paraId="0F850AEB" w14:textId="195C5A33">
      <w:pPr>
        <w:rPr>
          <w:rFonts w:ascii="Times New Roman" w:hAnsi="Times New Roman" w:eastAsia="Times New Roman" w:cs="Times New Roman"/>
        </w:rPr>
      </w:pPr>
    </w:p>
    <w:p w:rsidR="002C6FB1" w:rsidP="632514B1" w:rsidRDefault="002C6FB1" w14:paraId="06FD22BC" w14:textId="382A2F5C">
      <w:pPr>
        <w:rPr>
          <w:rFonts w:ascii="Times New Roman" w:hAnsi="Times New Roman" w:eastAsia="Times New Roman" w:cs="Times New Roman"/>
        </w:rPr>
      </w:pPr>
    </w:p>
    <w:p w:rsidRPr="00137DD9" w:rsidR="002C6FB1" w:rsidP="632514B1" w:rsidRDefault="002C6FB1" w14:paraId="4567A494" w14:textId="41AB80CD">
      <w:pPr>
        <w:rPr>
          <w:rFonts w:ascii="Times New Roman" w:hAnsi="Times New Roman" w:eastAsia="Times New Roman" w:cs="Times New Roman"/>
        </w:rPr>
      </w:pPr>
      <w:r w:rsidRPr="632514B1" w:rsidR="632514B1">
        <w:rPr>
          <w:rFonts w:ascii="Times New Roman" w:hAnsi="Times New Roman" w:eastAsia="Times New Roman" w:cs="Times New Roman"/>
        </w:rPr>
        <w:t>Please download any relevant posters, images, or other promotional materials</w:t>
      </w:r>
      <w:r w:rsidRPr="632514B1" w:rsidR="632514B1">
        <w:rPr>
          <w:rFonts w:ascii="Times New Roman" w:hAnsi="Times New Roman" w:eastAsia="Times New Roman" w:cs="Times New Roman"/>
        </w:rPr>
        <w:t xml:space="preserve"> ***including a PDF of websites that have promoted the event***</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2F223B88"/>
    <w:rsid w:val="53643D29"/>
    <w:rsid w:val="569029DE"/>
    <w:rsid w:val="5957C485"/>
    <w:rsid w:val="63251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youtube.com/watch?v=zHKKHZcwNFE" TargetMode="External" Id="R39a941619e6f4f7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11</revision>
  <dcterms:created xsi:type="dcterms:W3CDTF">2018-02-09T21:34:00.0000000Z</dcterms:created>
  <dcterms:modified xsi:type="dcterms:W3CDTF">2021-10-12T20:40:36.9102281Z</dcterms:modified>
</coreProperties>
</file>