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spacing w:line="240" w:lineRule="auto"/>
        <w:rPr>
          <w:rFonts w:ascii="Lora" w:cs="Lora" w:eastAsia="Lora" w:hAnsi="Lora"/>
          <w:b w:val="1"/>
          <w:sz w:val="36"/>
          <w:szCs w:val="36"/>
        </w:rPr>
      </w:pPr>
      <w:r w:rsidDel="00000000" w:rsidR="00000000" w:rsidRPr="00000000">
        <w:rPr>
          <w:rFonts w:ascii="Lora" w:cs="Lora" w:eastAsia="Lora" w:hAnsi="Lora"/>
          <w:b w:val="1"/>
          <w:sz w:val="36"/>
          <w:szCs w:val="36"/>
          <w:rtl w:val="0"/>
        </w:rPr>
        <w:t xml:space="preserve">Situating the self: Teacher-librarian narratives </w:t>
      </w:r>
    </w:p>
    <w:p w:rsidR="00000000" w:rsidDel="00000000" w:rsidP="00000000" w:rsidRDefault="00000000" w:rsidRPr="00000000" w14:paraId="00000002">
      <w:pPr>
        <w:widowControl w:val="0"/>
        <w:spacing w:line="240" w:lineRule="auto"/>
        <w:rPr>
          <w:rFonts w:ascii="Playfair Display" w:cs="Playfair Display" w:eastAsia="Playfair Display" w:hAnsi="Playfair Display"/>
          <w:b w:val="1"/>
          <w:color w:val="01afd1"/>
          <w:sz w:val="36"/>
          <w:szCs w:val="36"/>
        </w:rPr>
      </w:pPr>
      <w:r w:rsidDel="00000000" w:rsidR="00000000" w:rsidRPr="00000000">
        <w:rPr>
          <w:rFonts w:ascii="Lora" w:cs="Lora" w:eastAsia="Lora" w:hAnsi="Lora"/>
          <w:b w:val="1"/>
          <w:sz w:val="36"/>
          <w:szCs w:val="36"/>
          <w:rtl w:val="0"/>
        </w:rPr>
        <w:t xml:space="preserve">within and beyond institutional spaces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jc w:val="center"/>
        <w:rPr>
          <w:rFonts w:ascii="Playfair Display" w:cs="Playfair Display" w:eastAsia="Playfair Display" w:hAnsi="Playfair Display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Lora" w:cs="Lora" w:eastAsia="Lora" w:hAnsi="Lora"/>
          <w:b w:val="1"/>
        </w:rPr>
      </w:pPr>
      <w:hyperlink r:id="rId6">
        <w:r w:rsidDel="00000000" w:rsidR="00000000" w:rsidRPr="00000000">
          <w:rPr>
            <w:rFonts w:ascii="Lora" w:cs="Lora" w:eastAsia="Lora" w:hAnsi="Lora"/>
            <w:b w:val="1"/>
            <w:color w:val="1155cc"/>
            <w:u w:val="single"/>
            <w:rtl w:val="0"/>
          </w:rPr>
          <w:t xml:space="preserve">ACRL 2019</w:t>
        </w:r>
      </w:hyperlink>
      <w:r w:rsidDel="00000000" w:rsidR="00000000" w:rsidRPr="00000000">
        <w:rPr>
          <w:rFonts w:ascii="Lora" w:cs="Lora" w:eastAsia="Lora" w:hAnsi="Lora"/>
          <w:b w:val="1"/>
          <w:rtl w:val="0"/>
        </w:rPr>
        <w:t xml:space="preserve">  |  </w:t>
      </w:r>
      <w:hyperlink r:id="rId7">
        <w:r w:rsidDel="00000000" w:rsidR="00000000" w:rsidRPr="00000000">
          <w:rPr>
            <w:rFonts w:ascii="Lora" w:cs="Lora" w:eastAsia="Lora" w:hAnsi="Lora"/>
            <w:b w:val="1"/>
            <w:color w:val="1155cc"/>
            <w:u w:val="single"/>
            <w:rtl w:val="0"/>
          </w:rPr>
          <w:t xml:space="preserve">#</w:t>
        </w:r>
      </w:hyperlink>
      <w:hyperlink r:id="rId8">
        <w:r w:rsidDel="00000000" w:rsidR="00000000" w:rsidRPr="00000000">
          <w:rPr>
            <w:rFonts w:ascii="Lora" w:cs="Lora" w:eastAsia="Lora" w:hAnsi="Lora"/>
            <w:b w:val="1"/>
            <w:color w:val="1155cc"/>
            <w:u w:val="single"/>
            <w:rtl w:val="0"/>
          </w:rPr>
          <w:t xml:space="preserve">acrl2019teaching</w:t>
        </w:r>
      </w:hyperlink>
      <w:r w:rsidDel="00000000" w:rsidR="00000000" w:rsidRPr="00000000">
        <w:rPr>
          <w:rFonts w:ascii="Lora" w:cs="Lora" w:eastAsia="Lora" w:hAnsi="Lora"/>
          <w:b w:val="1"/>
          <w:rtl w:val="0"/>
        </w:rPr>
        <w:t xml:space="preserve">  |  </w:t>
      </w:r>
      <w:hyperlink r:id="rId9">
        <w:r w:rsidDel="00000000" w:rsidR="00000000" w:rsidRPr="00000000">
          <w:rPr>
            <w:rFonts w:ascii="Lora" w:cs="Lora" w:eastAsia="Lora" w:hAnsi="Lora"/>
            <w:b w:val="1"/>
            <w:color w:val="1155cc"/>
            <w:u w:val="single"/>
            <w:rtl w:val="0"/>
          </w:rPr>
          <w:t xml:space="preserve">Handout</w:t>
        </w:r>
      </w:hyperlink>
      <w:r w:rsidDel="00000000" w:rsidR="00000000" w:rsidRPr="00000000">
        <w:rPr>
          <w:rFonts w:ascii="Lora" w:cs="Lora" w:eastAsia="Lora" w:hAnsi="Lora"/>
          <w:b w:val="1"/>
          <w:rtl w:val="0"/>
        </w:rPr>
        <w:t xml:space="preserve">  |  </w:t>
      </w:r>
      <w:hyperlink r:id="rId10">
        <w:r w:rsidDel="00000000" w:rsidR="00000000" w:rsidRPr="00000000">
          <w:rPr>
            <w:rFonts w:ascii="Lora" w:cs="Lora" w:eastAsia="Lora" w:hAnsi="Lora"/>
            <w:b w:val="1"/>
            <w:color w:val="1155cc"/>
            <w:u w:val="single"/>
            <w:rtl w:val="0"/>
          </w:rPr>
          <w:t xml:space="preserve">Presentation slides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ind w:right="-360"/>
        <w:jc w:val="center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widowControl w:val="0"/>
        <w:spacing w:line="240" w:lineRule="auto"/>
        <w:ind w:right="-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Nimisha Bhat, Columbus College of Art &amp; Design  |  nbhat@ccad.edu, </w:t>
      </w:r>
      <w:hyperlink r:id="rId11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@mishiebhat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 </w:t>
      </w:r>
    </w:p>
    <w:p w:rsidR="00000000" w:rsidDel="00000000" w:rsidP="00000000" w:rsidRDefault="00000000" w:rsidRPr="00000000" w14:paraId="00000007">
      <w:pPr>
        <w:widowControl w:val="0"/>
        <w:spacing w:line="240" w:lineRule="auto"/>
        <w:ind w:right="-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Brittany Paloma Fiedler, University of Nevada, Las Vegas  |  brittany.fiedler@unlv.edu, </w:t>
      </w:r>
      <w:hyperlink r:id="rId12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@bpfiedler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 </w:t>
      </w:r>
    </w:p>
    <w:p w:rsidR="00000000" w:rsidDel="00000000" w:rsidP="00000000" w:rsidRDefault="00000000" w:rsidRPr="00000000" w14:paraId="00000008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ind w:right="-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Rachel Gammons, University of Maryland Libraries  |  rgammons@umd.edu, </w:t>
      </w:r>
      <w:hyperlink r:id="rId13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@rwgammons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 </w:t>
      </w:r>
    </w:p>
    <w:p w:rsidR="00000000" w:rsidDel="00000000" w:rsidP="00000000" w:rsidRDefault="00000000" w:rsidRPr="00000000" w14:paraId="00000009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ind w:right="-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Michele Santamaria, Millersville University  |  msantamaria@millersville.edu, </w:t>
      </w:r>
      <w:hyperlink r:id="rId14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@MUEngLib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widowControl w:val="0"/>
        <w:spacing w:line="240" w:lineRule="auto"/>
        <w:ind w:right="-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Eamon Tewell, Columbia University  |  ect2160@columbia.edu, </w:t>
      </w:r>
      <w:hyperlink r:id="rId15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@EamonTewell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 </w:t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Quattrocento Sans" w:cs="Quattrocento Sans" w:eastAsia="Quattrocento Sans" w:hAnsi="Quattrocento Sans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Lora" w:cs="Lora" w:eastAsia="Lora" w:hAnsi="Lora"/>
          <w:b w:val="1"/>
          <w:sz w:val="28"/>
          <w:szCs w:val="28"/>
        </w:rPr>
      </w:pPr>
      <w:r w:rsidDel="00000000" w:rsidR="00000000" w:rsidRPr="00000000">
        <w:rPr>
          <w:rFonts w:ascii="Lora" w:cs="Lora" w:eastAsia="Lora" w:hAnsi="Lora"/>
          <w:b w:val="1"/>
          <w:sz w:val="28"/>
          <w:szCs w:val="28"/>
          <w:rtl w:val="0"/>
        </w:rPr>
        <w:t xml:space="preserve">Reflective questions from the panel</w:t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If you’re a new instruction librarian, what is/was the biggest surprise you’ve encountered? If you’re a more experienced teacher, do you still encounter new surprises?</w:t>
      </w:r>
    </w:p>
    <w:p w:rsidR="00000000" w:rsidDel="00000000" w:rsidP="00000000" w:rsidRDefault="00000000" w:rsidRPr="00000000" w14:paraId="00000011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What factors have contributed to your feeling supported as a teacher?</w:t>
      </w:r>
    </w:p>
    <w:p w:rsidR="00000000" w:rsidDel="00000000" w:rsidP="00000000" w:rsidRDefault="00000000" w:rsidRPr="00000000" w14:paraId="00000012">
      <w:pPr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How do we feel set up to fail, and set up to succeed? What does success look like?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widowControl w:val="0"/>
        <w:numPr>
          <w:ilvl w:val="0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What themes are present among your reflections? What is one action you can take?</w:t>
      </w:r>
    </w:p>
    <w:p w:rsidR="00000000" w:rsidDel="00000000" w:rsidP="00000000" w:rsidRDefault="00000000" w:rsidRPr="00000000" w14:paraId="00000014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ind w:left="720" w:firstLine="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rFonts w:ascii="Quattrocento Sans" w:cs="Quattrocento Sans" w:eastAsia="Quattrocento Sans" w:hAnsi="Quattrocento Sans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rFonts w:ascii="Lora" w:cs="Lora" w:eastAsia="Lora" w:hAnsi="Lora"/>
          <w:b w:val="1"/>
          <w:sz w:val="28"/>
          <w:szCs w:val="28"/>
        </w:rPr>
      </w:pPr>
      <w:r w:rsidDel="00000000" w:rsidR="00000000" w:rsidRPr="00000000">
        <w:rPr>
          <w:rFonts w:ascii="Lora" w:cs="Lora" w:eastAsia="Lora" w:hAnsi="Lora"/>
          <w:b w:val="1"/>
          <w:sz w:val="28"/>
          <w:szCs w:val="28"/>
          <w:rtl w:val="0"/>
        </w:rPr>
        <w:t xml:space="preserve">Tools and resources for self-reflection</w:t>
      </w:r>
    </w:p>
    <w:p w:rsidR="00000000" w:rsidDel="00000000" w:rsidP="00000000" w:rsidRDefault="00000000" w:rsidRPr="00000000" w14:paraId="00000018">
      <w:pPr>
        <w:rPr>
          <w:rFonts w:ascii="Quattrocento Sans" w:cs="Quattrocento Sans" w:eastAsia="Quattrocento Sans" w:hAnsi="Quattrocen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Quattrocento Sans" w:cs="Quattrocento Sans" w:eastAsia="Quattrocento Sans" w:hAnsi="Quattrocento Sans"/>
          <w:i w:val="1"/>
        </w:rPr>
      </w:pPr>
      <w:r w:rsidDel="00000000" w:rsidR="00000000" w:rsidRPr="00000000">
        <w:rPr>
          <w:rFonts w:ascii="Quattrocento Sans" w:cs="Quattrocento Sans" w:eastAsia="Quattrocento Sans" w:hAnsi="Quattrocento Sans"/>
          <w:i w:val="1"/>
          <w:rtl w:val="0"/>
        </w:rPr>
        <w:t xml:space="preserve">Identity</w:t>
      </w:r>
    </w:p>
    <w:p w:rsidR="00000000" w:rsidDel="00000000" w:rsidP="00000000" w:rsidRDefault="00000000" w:rsidRPr="00000000" w14:paraId="0000001A">
      <w:pPr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0"/>
          <w:numId w:val="3"/>
        </w:numPr>
        <w:ind w:left="720" w:hanging="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McIntosh, Peggy. "</w:t>
      </w:r>
      <w:hyperlink r:id="rId16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White Privilege: Unpacking the Invisible Knapsack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." (1988).</w:t>
      </w:r>
    </w:p>
    <w:p w:rsidR="00000000" w:rsidDel="00000000" w:rsidP="00000000" w:rsidRDefault="00000000" w:rsidRPr="00000000" w14:paraId="0000001C">
      <w:pPr>
        <w:numPr>
          <w:ilvl w:val="0"/>
          <w:numId w:val="3"/>
        </w:numPr>
        <w:ind w:left="720" w:hanging="360"/>
        <w:rPr>
          <w:rFonts w:ascii="Quattrocento Sans" w:cs="Quattrocento Sans" w:eastAsia="Quattrocento Sans" w:hAnsi="Quattrocento Sans"/>
        </w:rPr>
      </w:pPr>
      <w:hyperlink r:id="rId17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The Spectrum Activity: Questions of Identity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Quattrocento Sans" w:cs="Quattrocento Sans" w:eastAsia="Quattrocento Sans" w:hAnsi="Quattrocento Sans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rFonts w:ascii="Quattrocento Sans" w:cs="Quattrocento Sans" w:eastAsia="Quattrocento Sans" w:hAnsi="Quattrocento Sans"/>
          <w:i w:val="1"/>
        </w:rPr>
      </w:pPr>
      <w:r w:rsidDel="00000000" w:rsidR="00000000" w:rsidRPr="00000000">
        <w:rPr>
          <w:rFonts w:ascii="Quattrocento Sans" w:cs="Quattrocento Sans" w:eastAsia="Quattrocento Sans" w:hAnsi="Quattrocento Sans"/>
          <w:i w:val="1"/>
          <w:rtl w:val="0"/>
        </w:rPr>
        <w:t xml:space="preserve">Teaching</w:t>
      </w:r>
    </w:p>
    <w:p w:rsidR="00000000" w:rsidDel="00000000" w:rsidP="00000000" w:rsidRDefault="00000000" w:rsidRPr="00000000" w14:paraId="0000001F">
      <w:pPr>
        <w:rPr>
          <w:rFonts w:ascii="Quattrocento Sans" w:cs="Quattrocento Sans" w:eastAsia="Quattrocento Sans" w:hAnsi="Quattrocento Sans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0"/>
          <w:numId w:val="1"/>
        </w:numPr>
        <w:ind w:left="720" w:hanging="360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Extensive list of ways to gather feedback and reflect: </w:t>
      </w:r>
      <w:hyperlink r:id="rId18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Tools for Reflecting on Your Teaching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0"/>
          <w:numId w:val="1"/>
        </w:numPr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Methods and questions for self-reflection on effective teaching: </w:t>
      </w:r>
      <w:hyperlink r:id="rId19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Teaching Strategies: The Value of Self-Reflection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rFonts w:ascii="Quattrocento Sans" w:cs="Quattrocento Sans" w:eastAsia="Quattrocento Sans" w:hAnsi="Quattrocento Sans"/>
          <w:i w:val="1"/>
        </w:rPr>
      </w:pPr>
      <w:r w:rsidDel="00000000" w:rsidR="00000000" w:rsidRPr="00000000">
        <w:rPr>
          <w:rFonts w:ascii="Quattrocento Sans" w:cs="Quattrocento Sans" w:eastAsia="Quattrocento Sans" w:hAnsi="Quattrocento Sans"/>
          <w:i w:val="1"/>
          <w:rtl w:val="0"/>
        </w:rPr>
        <w:t xml:space="preserve">Teaching in libraries</w:t>
      </w:r>
    </w:p>
    <w:p w:rsidR="00000000" w:rsidDel="00000000" w:rsidP="00000000" w:rsidRDefault="00000000" w:rsidRPr="00000000" w14:paraId="00000024">
      <w:pPr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0"/>
          <w:numId w:val="1"/>
        </w:numPr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Booth, Char. </w:t>
      </w:r>
      <w:hyperlink r:id="rId20">
        <w:r w:rsidDel="00000000" w:rsidR="00000000" w:rsidRPr="00000000">
          <w:rPr>
            <w:rFonts w:ascii="Quattrocento Sans" w:cs="Quattrocento Sans" w:eastAsia="Quattrocento Sans" w:hAnsi="Quattrocento Sans"/>
            <w:i w:val="1"/>
            <w:color w:val="1155cc"/>
            <w:u w:val="single"/>
            <w:rtl w:val="0"/>
          </w:rPr>
          <w:t xml:space="preserve">Reflective teaching, effective learning: Instructional literacy for library educators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. Chicago, IL: American Library Association, 2011.</w:t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Houtman, Eveline. "‘</w:t>
      </w:r>
      <w:hyperlink r:id="rId21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Trying to Figure it Out’: Academic Librarians Talk About Learning to Teach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."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rtl w:val="0"/>
        </w:rPr>
        <w:t xml:space="preserve">Library and Information Research</w:t>
      </w: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 34, no. 107 (2010): 18-40.</w:t>
      </w:r>
    </w:p>
    <w:p w:rsidR="00000000" w:rsidDel="00000000" w:rsidP="00000000" w:rsidRDefault="00000000" w:rsidRPr="00000000" w14:paraId="00000027">
      <w:pPr>
        <w:numPr>
          <w:ilvl w:val="0"/>
          <w:numId w:val="1"/>
        </w:numPr>
        <w:ind w:left="720" w:hanging="360"/>
        <w:rPr>
          <w:rFonts w:ascii="Quattrocento Sans" w:cs="Quattrocento Sans" w:eastAsia="Quattrocento Sans" w:hAnsi="Quattrocento Sans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Jacobs, Heidi. “</w:t>
      </w:r>
      <w:hyperlink r:id="rId22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u w:val="single"/>
            <w:rtl w:val="0"/>
          </w:rPr>
          <w:t xml:space="preserve">Information Literacy and Reflective Pedagogical Praxis</w:t>
        </w:r>
      </w:hyperlink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."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rtl w:val="0"/>
        </w:rPr>
        <w:t xml:space="preserve">The Journal of Academic Librarianship </w:t>
      </w:r>
      <w:r w:rsidDel="00000000" w:rsidR="00000000" w:rsidRPr="00000000">
        <w:rPr>
          <w:rFonts w:ascii="Quattrocento Sans" w:cs="Quattrocento Sans" w:eastAsia="Quattrocento Sans" w:hAnsi="Quattrocento Sans"/>
          <w:rtl w:val="0"/>
        </w:rPr>
        <w:t xml:space="preserve">34, no. 3 (2008): 256-262.</w:t>
      </w:r>
    </w:p>
    <w:p w:rsidR="00000000" w:rsidDel="00000000" w:rsidP="00000000" w:rsidRDefault="00000000" w:rsidRPr="00000000" w14:paraId="00000028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spacing w:line="240" w:lineRule="auto"/>
        <w:rPr>
          <w:rFonts w:ascii="Quattrocento Sans" w:cs="Quattrocento Sans" w:eastAsia="Quattrocento Sans" w:hAnsi="Quattrocento Sans"/>
        </w:rPr>
      </w:pPr>
      <w:r w:rsidDel="00000000" w:rsidR="00000000" w:rsidRPr="00000000">
        <w:pict>
          <v:rect style="width:0.0pt;height:1.5pt" o:hr="t" o:hrstd="t" o:hralign="center" fillcolor="#A0A0A0" stroked="f"/>
        </w:pic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line="240" w:lineRule="auto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Lora" w:cs="Lora" w:eastAsia="Lora" w:hAnsi="Lora"/>
          <w:b w:val="1"/>
          <w:sz w:val="28"/>
          <w:szCs w:val="28"/>
        </w:rPr>
      </w:pPr>
      <w:r w:rsidDel="00000000" w:rsidR="00000000" w:rsidRPr="00000000">
        <w:rPr>
          <w:rFonts w:ascii="Lora" w:cs="Lora" w:eastAsia="Lora" w:hAnsi="Lora"/>
          <w:b w:val="1"/>
          <w:sz w:val="28"/>
          <w:szCs w:val="28"/>
          <w:rtl w:val="0"/>
        </w:rPr>
        <w:t xml:space="preserve">R</w:t>
      </w:r>
      <w:r w:rsidDel="00000000" w:rsidR="00000000" w:rsidRPr="00000000">
        <w:rPr>
          <w:rFonts w:ascii="Lora" w:cs="Lora" w:eastAsia="Lora" w:hAnsi="Lora"/>
          <w:b w:val="1"/>
          <w:sz w:val="28"/>
          <w:szCs w:val="28"/>
          <w:rtl w:val="0"/>
        </w:rPr>
        <w:t xml:space="preserve">ecommended readings </w:t>
      </w:r>
    </w:p>
    <w:p w:rsidR="00000000" w:rsidDel="00000000" w:rsidP="00000000" w:rsidRDefault="00000000" w:rsidRPr="00000000" w14:paraId="0000002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rPr>
          <w:rFonts w:ascii="Quattrocento Sans" w:cs="Quattrocento Sans" w:eastAsia="Quattrocento Sans" w:hAnsi="Quattrocen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Quattrocento Sans" w:cs="Quattrocento Sans" w:eastAsia="Quattrocento Sans" w:hAnsi="Quattrocento Sans"/>
          <w:highlight w:val="white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Almeida, Nora. “</w:t>
      </w:r>
      <w:hyperlink r:id="rId23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highlight w:val="white"/>
            <w:u w:val="single"/>
            <w:rtl w:val="0"/>
          </w:rPr>
          <w:t xml:space="preserve">Librarian as Outsider</w:t>
        </w:r>
      </w:hyperlink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.”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highlight w:val="white"/>
          <w:rtl w:val="0"/>
        </w:rPr>
        <w:t xml:space="preserve">Hybrid Pedagogy</w:t>
      </w: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 July 7, 2015.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widowControl w:val="0"/>
        <w:spacing w:line="240" w:lineRule="auto"/>
        <w:ind w:left="720" w:firstLine="0"/>
        <w:rPr>
          <w:rFonts w:ascii="Quattrocento Sans" w:cs="Quattrocento Sans" w:eastAsia="Quattrocento Sans" w:hAnsi="Quattrocento Sans"/>
          <w:color w:val="333333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Quattrocento Sans" w:cs="Quattrocento Sans" w:eastAsia="Quattrocento Sans" w:hAnsi="Quattrocento Sans"/>
          <w:highlight w:val="white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Chou, Rose L., &amp; Pho, Annie. “</w:t>
      </w:r>
      <w:hyperlink r:id="rId24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highlight w:val="white"/>
            <w:u w:val="single"/>
            <w:rtl w:val="0"/>
          </w:rPr>
          <w:t xml:space="preserve">Intersectionality at the Reference Desk: Lived Experiences of Women of Color Librarians</w:t>
        </w:r>
      </w:hyperlink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.” In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highlight w:val="white"/>
          <w:rtl w:val="0"/>
        </w:rPr>
        <w:t xml:space="preserve">The Feminist Reference Desk</w:t>
      </w: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 Sacramento, CA: Library Juice Press, 2017.</w:t>
      </w:r>
    </w:p>
    <w:p w:rsidR="00000000" w:rsidDel="00000000" w:rsidP="00000000" w:rsidRDefault="00000000" w:rsidRPr="00000000" w14:paraId="00000030">
      <w:pPr>
        <w:widowControl w:val="0"/>
        <w:spacing w:line="240" w:lineRule="auto"/>
        <w:ind w:left="720" w:firstLine="0"/>
        <w:rPr>
          <w:rFonts w:ascii="Quattrocento Sans" w:cs="Quattrocento Sans" w:eastAsia="Quattrocento Sans" w:hAnsi="Quattrocento Sans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Quattrocento Sans" w:cs="Quattrocento Sans" w:eastAsia="Quattrocento Sans" w:hAnsi="Quattrocento Sans"/>
          <w:highlight w:val="white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Drabinski, Emily. “</w:t>
      </w:r>
      <w:hyperlink r:id="rId25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highlight w:val="white"/>
            <w:u w:val="single"/>
            <w:rtl w:val="0"/>
          </w:rPr>
          <w:t xml:space="preserve">Toward a Kairos of Library Instruction</w:t>
        </w:r>
      </w:hyperlink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.”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highlight w:val="white"/>
          <w:rtl w:val="0"/>
        </w:rPr>
        <w:t xml:space="preserve">The Journal of Academic Librarianship</w:t>
      </w: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 40, no. 5 (2014): 480-485.</w:t>
      </w:r>
    </w:p>
    <w:p w:rsidR="00000000" w:rsidDel="00000000" w:rsidP="00000000" w:rsidRDefault="00000000" w:rsidRPr="00000000" w14:paraId="00000032">
      <w:pPr>
        <w:widowControl w:val="0"/>
        <w:spacing w:line="240" w:lineRule="auto"/>
        <w:ind w:left="720" w:firstLine="0"/>
        <w:rPr>
          <w:rFonts w:ascii="Quattrocento Sans" w:cs="Quattrocento Sans" w:eastAsia="Quattrocento Sans" w:hAnsi="Quattrocento Sans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Quattrocento Sans" w:cs="Quattrocento Sans" w:eastAsia="Quattrocento Sans" w:hAnsi="Quattrocento Sans"/>
          <w:highlight w:val="white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Douglas, Veronica Arellano, &amp; Gadsby, Jo. “</w:t>
      </w:r>
      <w:hyperlink r:id="rId26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highlight w:val="white"/>
            <w:u w:val="single"/>
            <w:rtl w:val="0"/>
          </w:rPr>
          <w:t xml:space="preserve">Gendered Labor and Library Instruction Coordinators: The Undervaluing of Feminized Work</w:t>
        </w:r>
      </w:hyperlink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.”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highlight w:val="white"/>
          <w:rtl w:val="0"/>
        </w:rPr>
        <w:t xml:space="preserve">Proceedings of the 2017 ACRL Conference</w:t>
      </w: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, Baltimore, MD. March 2017.</w:t>
      </w:r>
    </w:p>
    <w:p w:rsidR="00000000" w:rsidDel="00000000" w:rsidP="00000000" w:rsidRDefault="00000000" w:rsidRPr="00000000" w14:paraId="00000034">
      <w:pPr>
        <w:widowControl w:val="0"/>
        <w:spacing w:line="240" w:lineRule="auto"/>
        <w:ind w:left="720" w:firstLine="0"/>
        <w:rPr>
          <w:rFonts w:ascii="Quattrocento Sans" w:cs="Quattrocento Sans" w:eastAsia="Quattrocento Sans" w:hAnsi="Quattrocento Sans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widowControl w:val="0"/>
        <w:numPr>
          <w:ilvl w:val="0"/>
          <w:numId w:val="2"/>
        </w:numPr>
        <w:spacing w:line="240" w:lineRule="auto"/>
        <w:ind w:left="720" w:hanging="360"/>
        <w:rPr>
          <w:rFonts w:ascii="Quattrocento Sans" w:cs="Quattrocento Sans" w:eastAsia="Quattrocento Sans" w:hAnsi="Quattrocento Sans"/>
          <w:highlight w:val="white"/>
          <w:u w:val="none"/>
        </w:rPr>
      </w:pP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Wallis, Lauren. “</w:t>
      </w:r>
      <w:hyperlink r:id="rId27">
        <w:r w:rsidDel="00000000" w:rsidR="00000000" w:rsidRPr="00000000">
          <w:rPr>
            <w:rFonts w:ascii="Quattrocento Sans" w:cs="Quattrocento Sans" w:eastAsia="Quattrocento Sans" w:hAnsi="Quattrocento Sans"/>
            <w:color w:val="1155cc"/>
            <w:highlight w:val="white"/>
            <w:u w:val="single"/>
            <w:rtl w:val="0"/>
          </w:rPr>
          <w:t xml:space="preserve">Smash All the Gates, Part 2: Professional Silenc*</w:t>
        </w:r>
      </w:hyperlink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.” </w:t>
      </w:r>
      <w:r w:rsidDel="00000000" w:rsidR="00000000" w:rsidRPr="00000000">
        <w:rPr>
          <w:rFonts w:ascii="Quattrocento Sans" w:cs="Quattrocento Sans" w:eastAsia="Quattrocento Sans" w:hAnsi="Quattrocento Sans"/>
          <w:i w:val="1"/>
          <w:highlight w:val="white"/>
          <w:rtl w:val="0"/>
        </w:rPr>
        <w:t xml:space="preserve">Do-It-Yourself Library Instruction </w:t>
      </w:r>
      <w:r w:rsidDel="00000000" w:rsidR="00000000" w:rsidRPr="00000000">
        <w:rPr>
          <w:rFonts w:ascii="Quattrocento Sans" w:cs="Quattrocento Sans" w:eastAsia="Quattrocento Sans" w:hAnsi="Quattrocento Sans"/>
          <w:highlight w:val="white"/>
          <w:rtl w:val="0"/>
        </w:rPr>
        <w:t xml:space="preserve">(blog). May 12, 2015.</w:t>
      </w:r>
      <w:r w:rsidDel="00000000" w:rsidR="00000000" w:rsidRPr="00000000">
        <w:rPr>
          <w:rtl w:val="0"/>
        </w:rPr>
      </w:r>
    </w:p>
    <w:sectPr>
      <w:pgSz w:h="15840" w:w="12240"/>
      <w:pgMar w:bottom="1440" w:top="1440" w:left="1440" w:right="144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Playfair Display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ora">
    <w:embedRegular w:fontKey="{00000000-0000-0000-0000-000000000000}" r:id="rId5" w:subsetted="0"/>
    <w:embedBold w:fontKey="{00000000-0000-0000-0000-000000000000}" r:id="rId6" w:subsetted="0"/>
    <w:embedItalic w:fontKey="{00000000-0000-0000-0000-000000000000}" r:id="rId7" w:subsetted="0"/>
    <w:embedBoldItalic w:fontKey="{00000000-0000-0000-0000-000000000000}" r:id="rId8" w:subsetted="0"/>
  </w:font>
  <w:font w:name="Quattrocento Sans">
    <w:embedRegular w:fontKey="{00000000-0000-0000-0000-000000000000}" r:id="rId9" w:subsetted="0"/>
    <w:embedBold w:fontKey="{00000000-0000-0000-0000-000000000000}" r:id="rId10" w:subsetted="0"/>
    <w:embedItalic w:fontKey="{00000000-0000-0000-0000-000000000000}" r:id="rId11" w:subsetted="0"/>
    <w:embedBoldItalic w:fontKey="{00000000-0000-0000-0000-000000000000}" r:id="rId12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➔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://www.worldcat.org/oclc/1027568629" TargetMode="External"/><Relationship Id="rId22" Type="http://schemas.openxmlformats.org/officeDocument/2006/relationships/hyperlink" Target="https://scholar.uwindsor.ca/leddylibrarypub/23/" TargetMode="External"/><Relationship Id="rId21" Type="http://schemas.openxmlformats.org/officeDocument/2006/relationships/hyperlink" Target="https://www.lirgjournal.org.uk/index.php/lir/article/view/246" TargetMode="External"/><Relationship Id="rId24" Type="http://schemas.openxmlformats.org/officeDocument/2006/relationships/hyperlink" Target="https://escholarship.org/uc/item/30r7s9nw" TargetMode="External"/><Relationship Id="rId23" Type="http://schemas.openxmlformats.org/officeDocument/2006/relationships/hyperlink" Target="https://hybridpedagogy.org/librarian-as-outsider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://tinyurl.com/acrl2019teaching" TargetMode="External"/><Relationship Id="rId26" Type="http://schemas.openxmlformats.org/officeDocument/2006/relationships/hyperlink" Target="http://www.ala.org/acrl/sites/ala.org.acrl/files/content/conferences/confsandpreconfs/2017/GenderedLaborandLibraryInstructionCoordinators.pdf" TargetMode="External"/><Relationship Id="rId25" Type="http://schemas.openxmlformats.org/officeDocument/2006/relationships/hyperlink" Target="https://digitalcommons.liu.edu/cgi/viewcontent.cgi?article=1017" TargetMode="External"/><Relationship Id="rId27" Type="http://schemas.openxmlformats.org/officeDocument/2006/relationships/hyperlink" Target="https://laurenwallis.wordpress.com/2015/05/12/smash-all-the-gates-part-2-professional-silenc/" TargetMode="External"/><Relationship Id="rId5" Type="http://schemas.openxmlformats.org/officeDocument/2006/relationships/styles" Target="styles.xml"/><Relationship Id="rId6" Type="http://schemas.openxmlformats.org/officeDocument/2006/relationships/hyperlink" Target="https://conference.acrl.org/" TargetMode="External"/><Relationship Id="rId7" Type="http://schemas.openxmlformats.org/officeDocument/2006/relationships/hyperlink" Target="https://twitter.com/search?q=%23acrl2019teaching" TargetMode="External"/><Relationship Id="rId8" Type="http://schemas.openxmlformats.org/officeDocument/2006/relationships/hyperlink" Target="https://twitter.com/search?q=%23acrl2019teaching" TargetMode="External"/><Relationship Id="rId11" Type="http://schemas.openxmlformats.org/officeDocument/2006/relationships/hyperlink" Target="https://twitter.com/mishiebhat" TargetMode="External"/><Relationship Id="rId10" Type="http://schemas.openxmlformats.org/officeDocument/2006/relationships/hyperlink" Target="https://docs.google.com/presentation/d/e/2PACX-1vRcQMS_hOGFSsquqL3Zdjr2Fjy7koNmUwswXK3_5Jrbhud8J4-Fd66Ev2wUJG4J-3naT31P6RA0nBym/pub?slide=id.g35f391192_00" TargetMode="External"/><Relationship Id="rId13" Type="http://schemas.openxmlformats.org/officeDocument/2006/relationships/hyperlink" Target="https://twitter.com/rwgammons" TargetMode="External"/><Relationship Id="rId12" Type="http://schemas.openxmlformats.org/officeDocument/2006/relationships/hyperlink" Target="https://twitter.com/bpfiedler" TargetMode="External"/><Relationship Id="rId15" Type="http://schemas.openxmlformats.org/officeDocument/2006/relationships/hyperlink" Target="https://twitter.com/EamonTewell" TargetMode="External"/><Relationship Id="rId14" Type="http://schemas.openxmlformats.org/officeDocument/2006/relationships/hyperlink" Target="https://twitter.com/MUEngLib" TargetMode="External"/><Relationship Id="rId17" Type="http://schemas.openxmlformats.org/officeDocument/2006/relationships/hyperlink" Target="https://sites.lsa.umich.edu/inclusive-teaching/2017/08/16/1213/" TargetMode="External"/><Relationship Id="rId16" Type="http://schemas.openxmlformats.org/officeDocument/2006/relationships/hyperlink" Target="https://www.racialequitytools.org/resourcefiles/mcintosh.pdf" TargetMode="External"/><Relationship Id="rId19" Type="http://schemas.openxmlformats.org/officeDocument/2006/relationships/hyperlink" Target="https://www.teachhub.com/teaching-strategies-value-self-reflection" TargetMode="External"/><Relationship Id="rId18" Type="http://schemas.openxmlformats.org/officeDocument/2006/relationships/hyperlink" Target="https://uwaterloo.ca/centre-for-teaching-excellence/teaching-resources/teaching-tips/professional-development/enhancing-your-teaching/tools-reflecting-teaching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fairDisplay-regular.ttf"/><Relationship Id="rId2" Type="http://schemas.openxmlformats.org/officeDocument/2006/relationships/font" Target="fonts/PlayfairDisplay-bold.ttf"/><Relationship Id="rId3" Type="http://schemas.openxmlformats.org/officeDocument/2006/relationships/font" Target="fonts/PlayfairDisplay-italic.ttf"/><Relationship Id="rId4" Type="http://schemas.openxmlformats.org/officeDocument/2006/relationships/font" Target="fonts/PlayfairDisplay-boldItalic.ttf"/><Relationship Id="rId11" Type="http://schemas.openxmlformats.org/officeDocument/2006/relationships/font" Target="fonts/QuattrocentoSans-italic.ttf"/><Relationship Id="rId10" Type="http://schemas.openxmlformats.org/officeDocument/2006/relationships/font" Target="fonts/QuattrocentoSans-bold.ttf"/><Relationship Id="rId12" Type="http://schemas.openxmlformats.org/officeDocument/2006/relationships/font" Target="fonts/QuattrocentoSans-boldItalic.ttf"/><Relationship Id="rId9" Type="http://schemas.openxmlformats.org/officeDocument/2006/relationships/font" Target="fonts/QuattrocentoSans-regular.ttf"/><Relationship Id="rId5" Type="http://schemas.openxmlformats.org/officeDocument/2006/relationships/font" Target="fonts/Lora-regular.ttf"/><Relationship Id="rId6" Type="http://schemas.openxmlformats.org/officeDocument/2006/relationships/font" Target="fonts/Lora-bold.ttf"/><Relationship Id="rId7" Type="http://schemas.openxmlformats.org/officeDocument/2006/relationships/font" Target="fonts/Lora-italic.ttf"/><Relationship Id="rId8" Type="http://schemas.openxmlformats.org/officeDocument/2006/relationships/font" Target="fonts/Lora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